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FE5E" w14:textId="77777777" w:rsidR="009E4752" w:rsidRPr="00F92C43" w:rsidRDefault="009E4752" w:rsidP="009E4752">
      <w:pPr>
        <w:jc w:val="center"/>
        <w:rPr>
          <w:b/>
        </w:rPr>
      </w:pPr>
      <w:r w:rsidRPr="00F92C43">
        <w:rPr>
          <w:b/>
        </w:rPr>
        <w:t xml:space="preserve">WATER QUALITY COMMITTEE </w:t>
      </w:r>
    </w:p>
    <w:p w14:paraId="46974B7E" w14:textId="77777777" w:rsidR="009E4752" w:rsidRPr="00F92C43" w:rsidRDefault="009E4752" w:rsidP="009E4752">
      <w:pPr>
        <w:jc w:val="center"/>
        <w:rPr>
          <w:b/>
        </w:rPr>
      </w:pPr>
      <w:r w:rsidRPr="00F92C43">
        <w:rPr>
          <w:b/>
        </w:rPr>
        <w:t>WORK PLAN</w:t>
      </w:r>
    </w:p>
    <w:p w14:paraId="3537F79E" w14:textId="77777777" w:rsidR="009E4752" w:rsidRPr="00F92C43" w:rsidRDefault="00913E2D" w:rsidP="009E4752">
      <w:pPr>
        <w:jc w:val="center"/>
        <w:rPr>
          <w:b/>
        </w:rPr>
      </w:pPr>
      <w:r w:rsidRPr="00F92C43">
        <w:rPr>
          <w:b/>
        </w:rPr>
        <w:t xml:space="preserve">July 1, </w:t>
      </w:r>
      <w:r w:rsidR="00752B0F" w:rsidRPr="00F92C43">
        <w:rPr>
          <w:b/>
        </w:rPr>
        <w:t>201</w:t>
      </w:r>
      <w:r w:rsidR="008367B6">
        <w:rPr>
          <w:b/>
        </w:rPr>
        <w:t>7</w:t>
      </w:r>
      <w:r w:rsidR="00752B0F" w:rsidRPr="00F92C43">
        <w:rPr>
          <w:b/>
        </w:rPr>
        <w:t xml:space="preserve"> </w:t>
      </w:r>
      <w:r w:rsidRPr="00F92C43">
        <w:rPr>
          <w:b/>
        </w:rPr>
        <w:t xml:space="preserve">to June 30, </w:t>
      </w:r>
      <w:r w:rsidR="00752B0F" w:rsidRPr="00F92C43">
        <w:rPr>
          <w:b/>
        </w:rPr>
        <w:t>201</w:t>
      </w:r>
      <w:r w:rsidR="008367B6">
        <w:rPr>
          <w:b/>
        </w:rPr>
        <w:t>8</w:t>
      </w:r>
    </w:p>
    <w:p w14:paraId="3F232FE1" w14:textId="77777777" w:rsidR="009B479A" w:rsidRDefault="009B479A" w:rsidP="007E7EC9">
      <w:pPr>
        <w:autoSpaceDE w:val="0"/>
        <w:autoSpaceDN w:val="0"/>
        <w:adjustRightInd w:val="0"/>
        <w:rPr>
          <w:b/>
        </w:rPr>
      </w:pPr>
    </w:p>
    <w:p w14:paraId="43F0AF84" w14:textId="77777777" w:rsidR="007E7EC9" w:rsidRPr="00982933" w:rsidRDefault="006F097D" w:rsidP="007E7EC9">
      <w:pPr>
        <w:autoSpaceDE w:val="0"/>
        <w:autoSpaceDN w:val="0"/>
        <w:adjustRightInd w:val="0"/>
      </w:pPr>
      <w:r w:rsidRPr="00F448D9">
        <w:rPr>
          <w:b/>
        </w:rPr>
        <w:t>1.</w:t>
      </w:r>
      <w:r w:rsidRPr="00F448D9">
        <w:rPr>
          <w:b/>
        </w:rPr>
        <w:tab/>
      </w:r>
      <w:r w:rsidR="008F046F" w:rsidRPr="009B479A">
        <w:rPr>
          <w:b/>
          <w:u w:val="single"/>
        </w:rPr>
        <w:t>WATER QUALITY/QUANTITY NEXUS</w:t>
      </w:r>
    </w:p>
    <w:p w14:paraId="038A408F" w14:textId="77777777" w:rsidR="007E7EC9" w:rsidRDefault="007E7EC9" w:rsidP="007E7EC9">
      <w:pPr>
        <w:autoSpaceDE w:val="0"/>
        <w:autoSpaceDN w:val="0"/>
        <w:adjustRightInd w:val="0"/>
        <w:rPr>
          <w:u w:val="single"/>
        </w:rPr>
      </w:pPr>
    </w:p>
    <w:p w14:paraId="69DB6D1D" w14:textId="77777777" w:rsidR="007E7EC9" w:rsidRDefault="007E7EC9" w:rsidP="00D20C52">
      <w:r w:rsidRPr="009A1CFA">
        <w:rPr>
          <w:b/>
        </w:rPr>
        <w:t xml:space="preserve">Work-to-Date:  </w:t>
      </w:r>
      <w:r w:rsidRPr="009A1CFA">
        <w:t>Paragraph (B)(</w:t>
      </w:r>
      <w:r w:rsidR="001B4ACB">
        <w:t>3</w:t>
      </w:r>
      <w:r w:rsidRPr="009A1CFA">
        <w:t>) of</w:t>
      </w:r>
      <w:r w:rsidR="00186F35">
        <w:t xml:space="preserve"> </w:t>
      </w:r>
      <w:r w:rsidR="00E72FBB">
        <w:t>WGA Resolution #</w:t>
      </w:r>
      <w:r w:rsidR="001B4ACB">
        <w:t>201</w:t>
      </w:r>
      <w:r w:rsidR="00536FD9">
        <w:t>5</w:t>
      </w:r>
      <w:r w:rsidR="001B4ACB">
        <w:t>-0</w:t>
      </w:r>
      <w:r w:rsidR="00536FD9">
        <w:t>8</w:t>
      </w:r>
      <w:r w:rsidRPr="009A1CFA">
        <w:t xml:space="preserve"> state</w:t>
      </w:r>
      <w:r w:rsidR="001B4ACB">
        <w:t>s</w:t>
      </w:r>
      <w:r w:rsidRPr="009A1CFA">
        <w:t xml:space="preserve">: </w:t>
      </w:r>
      <w:r w:rsidR="001B4ACB">
        <w:t xml:space="preserve">“Western Governors believe </w:t>
      </w:r>
      <w:r w:rsidR="00536FD9">
        <w:t xml:space="preserve">effective </w:t>
      </w:r>
      <w:r w:rsidR="001B4ACB">
        <w:t xml:space="preserve">solutions to water resource challenges require an </w:t>
      </w:r>
      <w:r w:rsidR="001B4ACB" w:rsidRPr="00E271E0">
        <w:rPr>
          <w:u w:val="single"/>
        </w:rPr>
        <w:t>integrated approach</w:t>
      </w:r>
      <w:r w:rsidR="001B4ACB">
        <w:t xml:space="preserve"> </w:t>
      </w:r>
      <w:r w:rsidR="00536FD9">
        <w:t xml:space="preserve">among </w:t>
      </w:r>
      <w:r w:rsidR="001B4ACB">
        <w:t xml:space="preserve">states and with federal, tribal and local partners. </w:t>
      </w:r>
      <w:r w:rsidR="00536FD9" w:rsidRPr="00536FD9">
        <w:t>Federal investments should assist states in implementing state water plans designed to provide water for municipal, rural, agricultural, industrial and habitat needs, and should provide financial and technical support for development of watershed and river basin water management plans when requested by states.  Integrated water management planning should also account for flood control, water quality protection, and regional water supply systems.</w:t>
      </w:r>
      <w:r w:rsidR="00D20C52">
        <w:t xml:space="preserve"> </w:t>
      </w:r>
      <w:r w:rsidR="001B4ACB">
        <w:t xml:space="preserve">Water resource planning </w:t>
      </w:r>
      <w:r w:rsidR="00D20C52">
        <w:t xml:space="preserve">must </w:t>
      </w:r>
      <w:r w:rsidR="001B4ACB">
        <w:t xml:space="preserve">occur within a framework that preserves states’ authority to manage water through policies which recognize state law and the </w:t>
      </w:r>
      <w:r w:rsidR="001B4ACB" w:rsidRPr="00E271E0">
        <w:rPr>
          <w:u w:val="single"/>
        </w:rPr>
        <w:t>financial, environmental and social values</w:t>
      </w:r>
      <w:r w:rsidR="001B4ACB">
        <w:t xml:space="preserve"> of the water resource to citizens of the western states today and in the future.” (emphasis added)</w:t>
      </w:r>
    </w:p>
    <w:p w14:paraId="21F5D019" w14:textId="77777777" w:rsidR="00B16B58" w:rsidRDefault="00B16B58" w:rsidP="00D20C52"/>
    <w:p w14:paraId="6E3D0B66" w14:textId="77777777" w:rsidR="00FA5DE4" w:rsidRPr="00B16B58" w:rsidRDefault="00FA5DE4" w:rsidP="00FA5DE4">
      <w:r w:rsidRPr="00B16B58">
        <w:t>On October 6-7, 2015, the Water Quality Committee held a workshop in conjunction with the WSWC’s 2015 fall meetings in Manhattan, Kansas. The workshop provided insights on: (1) how state water quantity and quality regulations interact with each other; (2) how states can protect water quality within the existing framework of the prior appropriation doctrine; and (3) the proper relationship between federal environmental protections and the states’ primary and exclusive authority over the allocation of water resources.</w:t>
      </w:r>
      <w:r>
        <w:t xml:space="preserve"> WSWC staff prepared a preliminary report of the meeting, which included recommendations for WSWC next steps.</w:t>
      </w:r>
    </w:p>
    <w:p w14:paraId="36EB2A5D" w14:textId="77777777" w:rsidR="00FA5DE4" w:rsidRPr="009A1CFA" w:rsidRDefault="00FA5DE4" w:rsidP="00FA5DE4">
      <w:pPr>
        <w:autoSpaceDE w:val="0"/>
        <w:autoSpaceDN w:val="0"/>
        <w:adjustRightInd w:val="0"/>
      </w:pPr>
    </w:p>
    <w:p w14:paraId="76C4F13F" w14:textId="7B2B90F7" w:rsidR="00FA5DE4" w:rsidRPr="003208A6" w:rsidRDefault="00FA5DE4" w:rsidP="00FA5DE4">
      <w:pPr>
        <w:rPr>
          <w:color w:val="FF0000"/>
        </w:rPr>
      </w:pPr>
      <w:r w:rsidRPr="009A1CFA">
        <w:rPr>
          <w:b/>
        </w:rPr>
        <w:t>201</w:t>
      </w:r>
      <w:r w:rsidR="008367B6">
        <w:rPr>
          <w:b/>
        </w:rPr>
        <w:t>7</w:t>
      </w:r>
      <w:r w:rsidRPr="009A1CFA">
        <w:rPr>
          <w:b/>
        </w:rPr>
        <w:t>-201</w:t>
      </w:r>
      <w:r w:rsidR="008367B6">
        <w:rPr>
          <w:b/>
        </w:rPr>
        <w:t>8</w:t>
      </w:r>
      <w:r w:rsidRPr="009A1CFA">
        <w:rPr>
          <w:b/>
        </w:rPr>
        <w:t xml:space="preserve">:  </w:t>
      </w:r>
      <w:r>
        <w:t xml:space="preserve">The Committee will </w:t>
      </w:r>
      <w:r w:rsidRPr="009A1CFA">
        <w:t>produce findings and policy options</w:t>
      </w:r>
      <w:r>
        <w:t xml:space="preserve"> from the WQ2 workshop</w:t>
      </w:r>
      <w:r w:rsidRPr="009A1CFA">
        <w:t xml:space="preserve"> for </w:t>
      </w:r>
      <w:r>
        <w:t>the WSWC to consider as it supports WGA Resolution #2015-08. The Committee will also f</w:t>
      </w:r>
      <w:r w:rsidRPr="003D3770">
        <w:t>ollow up on the next steps recommended in the WQ2 workshop, including:</w:t>
      </w:r>
      <w:r w:rsidR="008014A5">
        <w:t xml:space="preserve"> </w:t>
      </w:r>
      <w:r w:rsidR="008014A5" w:rsidRPr="008014A5">
        <w:t>(</w:t>
      </w:r>
      <w:r w:rsidR="00770E30">
        <w:t>1</w:t>
      </w:r>
      <w:r w:rsidR="008014A5" w:rsidRPr="008014A5">
        <w:t>) create a nexus Toolbox of useful and accessible information, including interagency MOUs, instream flow legislation, case studies, and reports of additional workshops, to provide a resource for the states seeking to learn f</w:t>
      </w:r>
      <w:r w:rsidR="00770E30">
        <w:t>rom each other’s experiences; (2</w:t>
      </w:r>
      <w:r w:rsidR="008014A5" w:rsidRPr="008014A5">
        <w:t xml:space="preserve">) create a subcommittee to provide a more </w:t>
      </w:r>
      <w:r w:rsidR="00770E30">
        <w:t>focused review of the 1997 WSWC</w:t>
      </w:r>
      <w:r w:rsidR="008014A5" w:rsidRPr="008014A5">
        <w:t xml:space="preserve"> report on Water Quantity/Water Quality Interrelationships</w:t>
      </w:r>
      <w:r w:rsidR="00770E30">
        <w:t>: Western State Perspectives; and (3</w:t>
      </w:r>
      <w:r w:rsidR="008014A5" w:rsidRPr="008014A5">
        <w:t>) identify and coordinate with federal agencies and other technical or national organizations with common interests to co-host educational workshops or symposia on relevant nexus topics, both to develop better relationships and to find additional potential solutions to nexus problems</w:t>
      </w:r>
      <w:r w:rsidR="001E7B5C">
        <w:rPr>
          <w:color w:val="FF0000"/>
        </w:rPr>
        <w:t>,</w:t>
      </w:r>
      <w:r w:rsidR="001D1B71" w:rsidRPr="001E7B5C">
        <w:rPr>
          <w:color w:val="FF0000"/>
        </w:rPr>
        <w:t xml:space="preserve"> </w:t>
      </w:r>
      <w:r w:rsidR="001E7B5C" w:rsidRPr="001E7B5C">
        <w:t>(4) provide</w:t>
      </w:r>
      <w:r w:rsidR="001E7B5C">
        <w:t xml:space="preserve"> updated</w:t>
      </w:r>
      <w:r w:rsidR="001E7B5C" w:rsidRPr="001E7B5C">
        <w:t xml:space="preserve"> information </w:t>
      </w:r>
      <w:r w:rsidR="001E7B5C">
        <w:t xml:space="preserve">from states </w:t>
      </w:r>
      <w:r w:rsidR="001E7B5C" w:rsidRPr="001E7B5C">
        <w:t xml:space="preserve">on current </w:t>
      </w:r>
      <w:r w:rsidR="001E7B5C">
        <w:t xml:space="preserve">water quality-water quantity </w:t>
      </w:r>
      <w:r w:rsidR="001E7B5C" w:rsidRPr="001E7B5C">
        <w:t>issues at</w:t>
      </w:r>
      <w:r w:rsidR="001E7B5C">
        <w:t xml:space="preserve"> Council</w:t>
      </w:r>
      <w:r w:rsidR="001E7B5C" w:rsidRPr="001E7B5C">
        <w:t xml:space="preserve"> meetings</w:t>
      </w:r>
      <w:r w:rsidR="001E7B5C">
        <w:t>.</w:t>
      </w:r>
    </w:p>
    <w:p w14:paraId="7C67F851" w14:textId="77777777" w:rsidR="007E7EC9" w:rsidRPr="009A1CFA" w:rsidRDefault="007E7EC9" w:rsidP="007E7EC9">
      <w:pPr>
        <w:autoSpaceDE w:val="0"/>
        <w:autoSpaceDN w:val="0"/>
        <w:adjustRightInd w:val="0"/>
      </w:pPr>
    </w:p>
    <w:p w14:paraId="3BAE3423" w14:textId="77777777" w:rsidR="009F2CC2" w:rsidRDefault="007E7EC9" w:rsidP="007E7EC9">
      <w:pPr>
        <w:autoSpaceDE w:val="0"/>
        <w:autoSpaceDN w:val="0"/>
        <w:adjustRightInd w:val="0"/>
      </w:pPr>
      <w:r w:rsidRPr="009A1CFA">
        <w:rPr>
          <w:b/>
        </w:rPr>
        <w:t xml:space="preserve">Time Frame:  </w:t>
      </w:r>
      <w:r w:rsidR="00FA5DE4" w:rsidRPr="00B16B58">
        <w:t>Ongoing</w:t>
      </w:r>
    </w:p>
    <w:p w14:paraId="2512EE2B" w14:textId="77777777" w:rsidR="007E7EC9" w:rsidRDefault="007E7EC9" w:rsidP="00056FA3">
      <w:pPr>
        <w:rPr>
          <w:b/>
        </w:rPr>
      </w:pPr>
    </w:p>
    <w:p w14:paraId="6247BE16" w14:textId="456D811A" w:rsidR="00421150" w:rsidRDefault="00421150" w:rsidP="00056FA3">
      <w:r w:rsidRPr="00421150">
        <w:t xml:space="preserve">WQ2 Nexus Workgroup: </w:t>
      </w:r>
      <w:r w:rsidR="00136A02">
        <w:t xml:space="preserve"> Kent </w:t>
      </w:r>
      <w:proofErr w:type="spellStart"/>
      <w:r w:rsidR="00136A02">
        <w:t>Woodmansey</w:t>
      </w:r>
      <w:proofErr w:type="spellEnd"/>
      <w:r w:rsidR="00136A02">
        <w:t xml:space="preserve"> (</w:t>
      </w:r>
      <w:r w:rsidR="006E1252" w:rsidRPr="00EB004B">
        <w:t>S</w:t>
      </w:r>
      <w:r w:rsidR="00136A02">
        <w:t>D), Tom Stiles (KS)</w:t>
      </w:r>
      <w:r w:rsidR="00E53712">
        <w:t>, David Schade (AK)</w:t>
      </w:r>
    </w:p>
    <w:p w14:paraId="7554435B" w14:textId="77777777" w:rsidR="00421150" w:rsidRPr="00421150" w:rsidRDefault="00421150" w:rsidP="00056FA3"/>
    <w:p w14:paraId="3CA8F371" w14:textId="77777777" w:rsidR="00421150" w:rsidRDefault="00421150" w:rsidP="00056FA3">
      <w:pPr>
        <w:rPr>
          <w:b/>
        </w:rPr>
      </w:pPr>
    </w:p>
    <w:p w14:paraId="389019C8" w14:textId="77777777" w:rsidR="007E7EC9" w:rsidRPr="009B479A" w:rsidRDefault="00982933" w:rsidP="00056FA3">
      <w:pPr>
        <w:rPr>
          <w:u w:val="single"/>
        </w:rPr>
      </w:pPr>
      <w:r>
        <w:rPr>
          <w:b/>
        </w:rPr>
        <w:t>2</w:t>
      </w:r>
      <w:r w:rsidR="007E7EC9" w:rsidRPr="00F448D9">
        <w:rPr>
          <w:b/>
        </w:rPr>
        <w:t>.</w:t>
      </w:r>
      <w:r w:rsidR="007E7EC9" w:rsidRPr="00F448D9">
        <w:rPr>
          <w:b/>
        </w:rPr>
        <w:tab/>
      </w:r>
      <w:r w:rsidR="008B6958" w:rsidRPr="009B479A">
        <w:rPr>
          <w:b/>
          <w:u w:val="single"/>
        </w:rPr>
        <w:t>CLEAN WATER ACT ISSUES</w:t>
      </w:r>
    </w:p>
    <w:p w14:paraId="0B39DE6F" w14:textId="77777777" w:rsidR="007E7EC9" w:rsidRDefault="007E7EC9" w:rsidP="00056FA3">
      <w:pPr>
        <w:rPr>
          <w:b/>
        </w:rPr>
      </w:pPr>
    </w:p>
    <w:p w14:paraId="4616F475" w14:textId="77777777" w:rsidR="007E7EC9" w:rsidRPr="004B3418" w:rsidRDefault="004B3418" w:rsidP="00056FA3">
      <w:r>
        <w:t xml:space="preserve">There are </w:t>
      </w:r>
      <w:proofErr w:type="gramStart"/>
      <w:r>
        <w:t>a number of</w:t>
      </w:r>
      <w:proofErr w:type="gramEnd"/>
      <w:r>
        <w:t xml:space="preserve"> ongoing </w:t>
      </w:r>
      <w:r w:rsidR="008B6958">
        <w:t>Clean Water Act (CWA)</w:t>
      </w:r>
      <w:r>
        <w:t xml:space="preserve"> issues that pertain to WSWC policies or are otherwise of interest that the Committee will monitor and address on an as needed basis.  These issues are listed below </w:t>
      </w:r>
      <w:r w:rsidR="009F2CC2">
        <w:t>in order</w:t>
      </w:r>
      <w:r w:rsidR="00667DC9">
        <w:t xml:space="preserve"> of priority</w:t>
      </w:r>
      <w:r>
        <w:t xml:space="preserve">.  </w:t>
      </w:r>
    </w:p>
    <w:p w14:paraId="79AD05D1" w14:textId="77777777" w:rsidR="00F92C43" w:rsidRDefault="00F92C43" w:rsidP="00056FA3">
      <w:pPr>
        <w:rPr>
          <w:i/>
        </w:rPr>
      </w:pPr>
    </w:p>
    <w:p w14:paraId="7DC5108B" w14:textId="77777777" w:rsidR="00770E30" w:rsidRDefault="00770E30" w:rsidP="00056FA3">
      <w:pPr>
        <w:rPr>
          <w:i/>
        </w:rPr>
      </w:pPr>
    </w:p>
    <w:p w14:paraId="0C189AD0" w14:textId="77777777" w:rsidR="00770E30" w:rsidRDefault="00770E30" w:rsidP="00056FA3">
      <w:pPr>
        <w:rPr>
          <w:i/>
        </w:rPr>
      </w:pPr>
    </w:p>
    <w:p w14:paraId="26F7C9D9" w14:textId="77777777" w:rsidR="00770E30" w:rsidRPr="00F92C43" w:rsidRDefault="00770E30" w:rsidP="00056FA3">
      <w:pPr>
        <w:rPr>
          <w:i/>
        </w:rPr>
      </w:pPr>
    </w:p>
    <w:p w14:paraId="0B074AB9" w14:textId="77777777" w:rsidR="00DA1F6F" w:rsidRDefault="007E7EC9" w:rsidP="007E7EC9">
      <w:pPr>
        <w:autoSpaceDE w:val="0"/>
        <w:autoSpaceDN w:val="0"/>
        <w:adjustRightInd w:val="0"/>
        <w:ind w:firstLine="720"/>
        <w:rPr>
          <w:b/>
        </w:rPr>
      </w:pPr>
      <w:r>
        <w:rPr>
          <w:b/>
        </w:rPr>
        <w:t>a</w:t>
      </w:r>
      <w:r w:rsidR="009D75E9" w:rsidRPr="00F92C43">
        <w:rPr>
          <w:b/>
        </w:rPr>
        <w:t>.</w:t>
      </w:r>
      <w:r w:rsidR="009D75E9" w:rsidRPr="00F92C43">
        <w:rPr>
          <w:b/>
        </w:rPr>
        <w:tab/>
      </w:r>
      <w:r w:rsidR="00AE10D4">
        <w:rPr>
          <w:b/>
          <w:u w:val="single"/>
        </w:rPr>
        <w:t>CWA</w:t>
      </w:r>
      <w:r w:rsidRPr="000F069B">
        <w:rPr>
          <w:b/>
          <w:u w:val="single"/>
        </w:rPr>
        <w:t xml:space="preserve"> Jurisdiction</w:t>
      </w:r>
      <w:r w:rsidR="00BD56A2" w:rsidRPr="007E7EC9">
        <w:rPr>
          <w:b/>
        </w:rPr>
        <w:t>*</w:t>
      </w:r>
      <w:r w:rsidR="00215ECB" w:rsidRPr="007E7EC9">
        <w:rPr>
          <w:b/>
        </w:rPr>
        <w:t xml:space="preserve"> </w:t>
      </w:r>
    </w:p>
    <w:p w14:paraId="31CA5A39" w14:textId="77777777" w:rsidR="00297227" w:rsidRPr="007E7EC9" w:rsidRDefault="00297227" w:rsidP="007E7EC9">
      <w:pPr>
        <w:autoSpaceDE w:val="0"/>
        <w:autoSpaceDN w:val="0"/>
        <w:adjustRightInd w:val="0"/>
        <w:ind w:firstLine="720"/>
        <w:rPr>
          <w:b/>
        </w:rPr>
      </w:pPr>
    </w:p>
    <w:p w14:paraId="3AF40D55" w14:textId="77777777" w:rsidR="00B86642" w:rsidRDefault="00DE40F7" w:rsidP="00B86642">
      <w:pPr>
        <w:ind w:left="720"/>
      </w:pPr>
      <w:r>
        <w:rPr>
          <w:b/>
        </w:rPr>
        <w:t>Background</w:t>
      </w:r>
      <w:r w:rsidR="009F6F4E" w:rsidRPr="009F5F64">
        <w:rPr>
          <w:b/>
        </w:rPr>
        <w:t xml:space="preserve">:  </w:t>
      </w:r>
      <w:r w:rsidR="009F6F4E" w:rsidRPr="009F5F64">
        <w:t xml:space="preserve">In 2011, the EPA and the U.S. Army Corps of Engineers released draft guidance intended to provide clearer, more predictable guidelines for determining which water bodies are subject to Clean Water Act (CWA) jurisdiction, consistent with the U.S. Supreme Court’s </w:t>
      </w:r>
      <w:r w:rsidR="009F6F4E">
        <w:t xml:space="preserve">decisions in </w:t>
      </w:r>
      <w:r w:rsidR="009F6F4E" w:rsidRPr="009F5F64">
        <w:rPr>
          <w:i/>
          <w:iCs/>
        </w:rPr>
        <w:t>Solid Waste Agency of Northern Cook County v. U.S. Army Corps of Engineers</w:t>
      </w:r>
      <w:r w:rsidR="009F6F4E" w:rsidRPr="00A44CC1">
        <w:rPr>
          <w:iCs/>
        </w:rPr>
        <w:t xml:space="preserve">, </w:t>
      </w:r>
      <w:r w:rsidR="009F6F4E" w:rsidRPr="00A44CC1">
        <w:rPr>
          <w:shd w:val="clear" w:color="auto" w:fill="FFFFFF"/>
        </w:rPr>
        <w:t>531 U.S. 159 (2001),</w:t>
      </w:r>
      <w:r w:rsidR="009F6F4E" w:rsidRPr="009F5F64">
        <w:rPr>
          <w:i/>
          <w:iCs/>
        </w:rPr>
        <w:t xml:space="preserve"> </w:t>
      </w:r>
      <w:r w:rsidR="009F6F4E" w:rsidRPr="009F5F64">
        <w:t xml:space="preserve">and </w:t>
      </w:r>
      <w:proofErr w:type="spellStart"/>
      <w:r w:rsidR="009F6F4E" w:rsidRPr="009F5F64">
        <w:rPr>
          <w:i/>
          <w:iCs/>
        </w:rPr>
        <w:t>Rapanos</w:t>
      </w:r>
      <w:proofErr w:type="spellEnd"/>
      <w:r w:rsidR="009F6F4E" w:rsidRPr="009F5F64">
        <w:rPr>
          <w:i/>
          <w:iCs/>
        </w:rPr>
        <w:t xml:space="preserve"> v. United States</w:t>
      </w:r>
      <w:r w:rsidR="009F6F4E" w:rsidRPr="00A44CC1">
        <w:rPr>
          <w:iCs/>
        </w:rPr>
        <w:t xml:space="preserve">, </w:t>
      </w:r>
      <w:r w:rsidR="009F6F4E" w:rsidRPr="00A44CC1">
        <w:rPr>
          <w:rStyle w:val="apple-converted-space"/>
          <w:color w:val="252525"/>
          <w:shd w:val="clear" w:color="auto" w:fill="FFFFFF"/>
        </w:rPr>
        <w:t> </w:t>
      </w:r>
      <w:hyperlink r:id="rId8" w:tooltip="Case citation" w:history="1">
        <w:r w:rsidR="009F6F4E" w:rsidRPr="00A44CC1">
          <w:rPr>
            <w:rStyle w:val="Hyperlink"/>
            <w:color w:val="auto"/>
            <w:u w:val="none"/>
            <w:shd w:val="clear" w:color="auto" w:fill="FFFFFF"/>
          </w:rPr>
          <w:t>547 U.S. 715</w:t>
        </w:r>
      </w:hyperlink>
      <w:r w:rsidR="009F6F4E" w:rsidRPr="00A44CC1">
        <w:rPr>
          <w:rStyle w:val="apple-converted-space"/>
          <w:color w:val="252525"/>
          <w:shd w:val="clear" w:color="auto" w:fill="FFFFFF"/>
        </w:rPr>
        <w:t> </w:t>
      </w:r>
      <w:r w:rsidR="009F6F4E" w:rsidRPr="00A44CC1">
        <w:rPr>
          <w:color w:val="252525"/>
          <w:shd w:val="clear" w:color="auto" w:fill="FFFFFF"/>
        </w:rPr>
        <w:t>(2006)</w:t>
      </w:r>
      <w:r w:rsidR="009F6F4E" w:rsidRPr="00A44CC1">
        <w:t>.</w:t>
      </w:r>
      <w:r w:rsidR="009F6F4E" w:rsidRPr="009F5F64">
        <w:t xml:space="preserve">  </w:t>
      </w:r>
      <w:r w:rsidR="00B86642">
        <w:t>This was followed by the WOTUS Rule, finalized on June 29, 2015 (80 FR 37054). Many of our member states filed lawsuits challenging the WOTUS Rule in federal court. Subsequent motions centered primarily on the issue of which courts had jurisdiction to hear the lawsuits, and the procedural matter is now before the U.S. Supreme Court.</w:t>
      </w:r>
    </w:p>
    <w:p w14:paraId="3FB03A70" w14:textId="77777777" w:rsidR="00B86642" w:rsidRDefault="00B86642" w:rsidP="00B86642">
      <w:pPr>
        <w:ind w:left="720"/>
      </w:pPr>
    </w:p>
    <w:p w14:paraId="66BEBC3E" w14:textId="77777777" w:rsidR="009F6F4E" w:rsidRPr="009F5F64" w:rsidRDefault="00B86642" w:rsidP="00B86642">
      <w:pPr>
        <w:ind w:left="720"/>
      </w:pPr>
      <w:r>
        <w:t xml:space="preserve">On February 28, 2017, the Trump Administration issued an Executive Order, Restoring the Rule of Law, Federalism, and Economic Growth by Reviewing the “Waters of the United States” Rule, directing the EPA and Corps to review the WOTUS Rule for consistency with the stated policy of keeping the navigable waters free of pollution while also promoting economic growth, reducing regulatory uncertainty, and respecting the roles of Congress and the States. The EO specifically directs the agencies to interpret “navigable waters” consistent with the opinion of Justice Scalia in the </w:t>
      </w:r>
      <w:proofErr w:type="spellStart"/>
      <w:r>
        <w:t>Rapanos</w:t>
      </w:r>
      <w:proofErr w:type="spellEnd"/>
      <w:r>
        <w:t xml:space="preserve"> case. On March 6, 2017, the agencies published </w:t>
      </w:r>
      <w:r w:rsidRPr="00B86642">
        <w:rPr>
          <w:i/>
        </w:rPr>
        <w:t>a Notice of Intention to Review and Rescind or Revise the Clean Water Rule</w:t>
      </w:r>
      <w:r>
        <w:t xml:space="preserve"> in the Federal Register, 82 FR 12532.</w:t>
      </w:r>
      <w:r w:rsidR="009F6F4E" w:rsidRPr="009F5F64">
        <w:t xml:space="preserve">  </w:t>
      </w:r>
    </w:p>
    <w:p w14:paraId="3E488365" w14:textId="77777777" w:rsidR="009F6F4E" w:rsidRDefault="009F6F4E" w:rsidP="009F6F4E"/>
    <w:p w14:paraId="36914492" w14:textId="77777777" w:rsidR="001E7B5C" w:rsidRPr="001E7B5C" w:rsidRDefault="001E7B5C" w:rsidP="001E7B5C">
      <w:pPr>
        <w:pStyle w:val="CommentText"/>
        <w:ind w:left="720"/>
        <w:rPr>
          <w:sz w:val="24"/>
          <w:szCs w:val="24"/>
        </w:rPr>
      </w:pPr>
      <w:r w:rsidRPr="001E7B5C">
        <w:rPr>
          <w:sz w:val="24"/>
          <w:szCs w:val="24"/>
        </w:rPr>
        <w:t xml:space="preserve">On May 8, Scott Pruitt, the Environmental Protection Agency (EPA) Administrator, and Douglas Lamont, Senior Official for the U.S. Army Corps of Engineers (Corps), sent a letter to governors seeking input from the states on a new definition of “waters of the United States” protected under the Clean Water Act (CWA), including how each state “might respond to a reduced scope of federal jurisdiction under the [CWA].” The letter notes that consulting with state and local government officials--or their representative national organizations--before proposing regulations with federalism implications is a priority for this Administration. “We hope to keep the states at the forefront of our </w:t>
      </w:r>
      <w:proofErr w:type="gramStart"/>
      <w:r w:rsidRPr="001E7B5C">
        <w:rPr>
          <w:sz w:val="24"/>
          <w:szCs w:val="24"/>
        </w:rPr>
        <w:t>mission[</w:t>
      </w:r>
      <w:proofErr w:type="gramEnd"/>
      <w:r w:rsidRPr="001E7B5C">
        <w:rPr>
          <w:sz w:val="24"/>
          <w:szCs w:val="24"/>
        </w:rPr>
        <w:t>,] and your input during the federalism process will enable us to do that effectively.”</w:t>
      </w:r>
    </w:p>
    <w:p w14:paraId="7E006D87" w14:textId="77777777" w:rsidR="001E7B5C" w:rsidRPr="001E7B5C" w:rsidRDefault="001E7B5C" w:rsidP="001E7B5C">
      <w:pPr>
        <w:pStyle w:val="CommentText"/>
        <w:ind w:left="720"/>
        <w:rPr>
          <w:sz w:val="24"/>
          <w:szCs w:val="24"/>
        </w:rPr>
      </w:pPr>
    </w:p>
    <w:p w14:paraId="7176C1BC" w14:textId="77777777" w:rsidR="001E7B5C" w:rsidRPr="001E7B5C" w:rsidRDefault="001E7B5C" w:rsidP="001E7B5C">
      <w:pPr>
        <w:pStyle w:val="CommentText"/>
        <w:ind w:left="720"/>
        <w:rPr>
          <w:sz w:val="24"/>
          <w:szCs w:val="24"/>
        </w:rPr>
      </w:pPr>
      <w:r w:rsidRPr="001E7B5C">
        <w:rPr>
          <w:sz w:val="24"/>
          <w:szCs w:val="24"/>
        </w:rPr>
        <w:t xml:space="preserve">As a first step, the agencies are “re-codifying the regulation that was in place prior to the issuance of the Clean Water Rule,” which is what the agencies are currently implementing under the 6th Circuit’s nationwide stay of the rule. The second step for the agencies is to propose a new definition of protected waters that is consistent with the opinion of Justice Scalia in </w:t>
      </w:r>
      <w:proofErr w:type="spellStart"/>
      <w:r w:rsidRPr="001E7B5C">
        <w:rPr>
          <w:i/>
          <w:sz w:val="24"/>
          <w:szCs w:val="24"/>
        </w:rPr>
        <w:t>Rapanos</w:t>
      </w:r>
      <w:proofErr w:type="spellEnd"/>
      <w:r w:rsidRPr="001E7B5C">
        <w:rPr>
          <w:i/>
          <w:sz w:val="24"/>
          <w:szCs w:val="24"/>
        </w:rPr>
        <w:t xml:space="preserve"> v. United States</w:t>
      </w:r>
      <w:r w:rsidRPr="001E7B5C">
        <w:rPr>
          <w:sz w:val="24"/>
          <w:szCs w:val="24"/>
        </w:rPr>
        <w:t xml:space="preserve">, 547 U.S. 715 (2006). The agencies note that the federalism consultation began with an initial meeting on April 19, with state and local government associations. “In addition to discussions our respective staffs will have with associations and individual state environmental agencies, we are reaching out to you directly to ensure we received the benefit of your </w:t>
      </w:r>
      <w:proofErr w:type="gramStart"/>
      <w:r w:rsidRPr="001E7B5C">
        <w:rPr>
          <w:sz w:val="24"/>
          <w:szCs w:val="24"/>
        </w:rPr>
        <w:t>particular state’s</w:t>
      </w:r>
      <w:proofErr w:type="gramEnd"/>
      <w:r w:rsidRPr="001E7B5C">
        <w:rPr>
          <w:sz w:val="24"/>
          <w:szCs w:val="24"/>
        </w:rPr>
        <w:t xml:space="preserve"> experiences and </w:t>
      </w:r>
      <w:r w:rsidRPr="001E7B5C">
        <w:rPr>
          <w:sz w:val="24"/>
          <w:szCs w:val="24"/>
        </w:rPr>
        <w:lastRenderedPageBreak/>
        <w:t>expertise. The agencies are soliciting written comments from state and local governments until June 19, 2017.” Following that will be a public notice-and-comment rulemaking.</w:t>
      </w:r>
    </w:p>
    <w:p w14:paraId="3A6588C3" w14:textId="050522CF" w:rsidR="009F6F4E" w:rsidRPr="009F5F64" w:rsidRDefault="009F6F4E" w:rsidP="009F6F4E"/>
    <w:p w14:paraId="004F2A79" w14:textId="76DA3EEF" w:rsidR="009F6F4E" w:rsidRDefault="00DE40F7" w:rsidP="00E53712">
      <w:pPr>
        <w:ind w:left="720"/>
      </w:pPr>
      <w:r w:rsidRPr="009F5F64">
        <w:rPr>
          <w:b/>
        </w:rPr>
        <w:t xml:space="preserve">Work-to-Date:  </w:t>
      </w:r>
      <w:r w:rsidR="009F6F4E" w:rsidRPr="009F5F64">
        <w:t xml:space="preserve">In 2013, the WSWC wrote EPA and the Corps a series of five letters </w:t>
      </w:r>
      <w:r w:rsidR="00A238D2">
        <w:t>requesting greater state consultation in the development of the rule</w:t>
      </w:r>
      <w:r w:rsidR="00E53712">
        <w:t>.</w:t>
      </w:r>
      <w:r w:rsidR="009F6F4E">
        <w:t xml:space="preserve"> </w:t>
      </w:r>
      <w:r w:rsidR="009F6F4E" w:rsidRPr="009F5F64">
        <w:t xml:space="preserve"> </w:t>
      </w:r>
      <w:proofErr w:type="gramStart"/>
      <w:r w:rsidR="009F6F4E" w:rsidRPr="009F5F64">
        <w:t>In</w:t>
      </w:r>
      <w:proofErr w:type="gramEnd"/>
      <w:r w:rsidR="009F6F4E" w:rsidRPr="009F5F64">
        <w:t xml:space="preserve"> March 2014, the WSWC sent </w:t>
      </w:r>
      <w:r w:rsidR="00B86642">
        <w:t xml:space="preserve">another letter </w:t>
      </w:r>
      <w:r w:rsidR="009F6F4E" w:rsidRPr="009F5F64">
        <w:t>to EPA and the Corps</w:t>
      </w:r>
      <w:r w:rsidR="009F6F4E">
        <w:t xml:space="preserve">, </w:t>
      </w:r>
      <w:r w:rsidR="009F6F4E" w:rsidRPr="009F5F64">
        <w:t>setting forth a list of additional consensus comments on the rulemaking</w:t>
      </w:r>
      <w:r w:rsidR="009F6F4E">
        <w:t xml:space="preserve">.  The Western Governors’ Association (WGA) sent a subsequent letter on March 25, 2014, that cited the WSWC’s letter and urged the agencies to consult with the states individually and through the WGA before taking further action on the rulemaking.   </w:t>
      </w:r>
    </w:p>
    <w:p w14:paraId="0D3BA478" w14:textId="77777777" w:rsidR="009F6F4E" w:rsidRDefault="009F6F4E" w:rsidP="009F6F4E">
      <w:r w:rsidRPr="009F5F64">
        <w:t xml:space="preserve">  </w:t>
      </w:r>
    </w:p>
    <w:p w14:paraId="4C364E47" w14:textId="44CCD1C6" w:rsidR="005F46F5" w:rsidRDefault="009F6F4E" w:rsidP="00E53712">
      <w:pPr>
        <w:ind w:left="720"/>
      </w:pPr>
      <w:r w:rsidRPr="00BA5AB2">
        <w:t xml:space="preserve">The WSWC adopted </w:t>
      </w:r>
      <w:r w:rsidR="00B13C7C">
        <w:t>Position #369</w:t>
      </w:r>
      <w:r w:rsidRPr="00BA5AB2">
        <w:t xml:space="preserve"> regarding CWA rulemaking efforts on July 18, 2014, during its summer meetings in Helena, Montana.  The resolution </w:t>
      </w:r>
      <w:r w:rsidR="00B13C7C">
        <w:t>served as the basis of a comment letter the WSWC sent to EPA an</w:t>
      </w:r>
      <w:r w:rsidR="001E077E">
        <w:t>d the Corps on October 15, 2014.  That letter</w:t>
      </w:r>
      <w:r w:rsidR="00B13C7C">
        <w:t xml:space="preserve"> called for the creation of a state-federal workgroup to refine and revise the rule and set forth </w:t>
      </w:r>
      <w:proofErr w:type="gramStart"/>
      <w:r w:rsidR="00B13C7C">
        <w:t>a number of</w:t>
      </w:r>
      <w:proofErr w:type="gramEnd"/>
      <w:r w:rsidR="00B13C7C">
        <w:t xml:space="preserve"> requested changes</w:t>
      </w:r>
      <w:r w:rsidR="004F7A30">
        <w:t>.</w:t>
      </w:r>
      <w:r w:rsidR="00B13C7C">
        <w:t xml:space="preserve"> </w:t>
      </w:r>
    </w:p>
    <w:p w14:paraId="10DEEF3B" w14:textId="77777777" w:rsidR="00297227" w:rsidRDefault="00297227" w:rsidP="00AB563F">
      <w:pPr>
        <w:ind w:left="720"/>
      </w:pPr>
      <w:r>
        <w:t xml:space="preserve">  </w:t>
      </w:r>
    </w:p>
    <w:p w14:paraId="538C6F4B" w14:textId="77777777" w:rsidR="00297227" w:rsidRPr="00094F2F" w:rsidRDefault="00B13C7C" w:rsidP="00AB563F">
      <w:pPr>
        <w:ind w:left="720"/>
      </w:pPr>
      <w:r w:rsidRPr="00094F2F">
        <w:rPr>
          <w:b/>
        </w:rPr>
        <w:t>201</w:t>
      </w:r>
      <w:r w:rsidR="008367B6">
        <w:rPr>
          <w:b/>
        </w:rPr>
        <w:t>7</w:t>
      </w:r>
      <w:r w:rsidR="00297227" w:rsidRPr="00094F2F">
        <w:rPr>
          <w:b/>
        </w:rPr>
        <w:t>-201</w:t>
      </w:r>
      <w:r w:rsidR="008367B6">
        <w:rPr>
          <w:b/>
        </w:rPr>
        <w:t>8</w:t>
      </w:r>
      <w:r w:rsidR="00297227" w:rsidRPr="00094F2F">
        <w:rPr>
          <w:b/>
        </w:rPr>
        <w:t xml:space="preserve">:  </w:t>
      </w:r>
      <w:r w:rsidR="00297227" w:rsidRPr="00094F2F">
        <w:t xml:space="preserve">The Committee will continue to work with the Water Resources and </w:t>
      </w:r>
      <w:r w:rsidR="000320CA">
        <w:t>Legal</w:t>
      </w:r>
      <w:r w:rsidR="00297227" w:rsidRPr="00094F2F">
        <w:t xml:space="preserve"> Committees </w:t>
      </w:r>
      <w:r w:rsidR="00297227">
        <w:t xml:space="preserve">through the Workgroup </w:t>
      </w:r>
      <w:r w:rsidR="00297227" w:rsidRPr="00094F2F">
        <w:t xml:space="preserve">to follow and comment on the </w:t>
      </w:r>
      <w:r>
        <w:t xml:space="preserve">further </w:t>
      </w:r>
      <w:r w:rsidR="00297227" w:rsidRPr="00094F2F">
        <w:t>development</w:t>
      </w:r>
      <w:r>
        <w:t xml:space="preserve"> and/or implementation of the</w:t>
      </w:r>
      <w:r w:rsidR="00297227" w:rsidRPr="00094F2F">
        <w:t xml:space="preserve"> </w:t>
      </w:r>
      <w:r w:rsidR="00297227">
        <w:t xml:space="preserve">jurisdictional rule </w:t>
      </w:r>
      <w:r w:rsidR="00297227" w:rsidRPr="00094F2F">
        <w:t xml:space="preserve">and other federal actions regarding CWA jurisdiction in accordance with the </w:t>
      </w:r>
      <w:r w:rsidR="00297227">
        <w:t>WSWC’s positions</w:t>
      </w:r>
      <w:r w:rsidR="00297227" w:rsidRPr="00094F2F">
        <w:t>.</w:t>
      </w:r>
      <w:r w:rsidR="00297227">
        <w:t xml:space="preserve">    </w:t>
      </w:r>
    </w:p>
    <w:p w14:paraId="4D966750" w14:textId="77777777" w:rsidR="008367B6" w:rsidRDefault="008367B6" w:rsidP="00AB563F">
      <w:pPr>
        <w:ind w:left="720"/>
        <w:rPr>
          <w:b/>
        </w:rPr>
      </w:pPr>
    </w:p>
    <w:p w14:paraId="1E064474" w14:textId="77777777" w:rsidR="00297227" w:rsidRPr="00094F2F" w:rsidRDefault="00297227" w:rsidP="00AB563F">
      <w:pPr>
        <w:ind w:left="720"/>
      </w:pPr>
      <w:r w:rsidRPr="00094F2F">
        <w:rPr>
          <w:b/>
        </w:rPr>
        <w:t xml:space="preserve">Time Frame:  </w:t>
      </w:r>
      <w:r w:rsidRPr="00094F2F">
        <w:t xml:space="preserve">Ongoing  </w:t>
      </w:r>
    </w:p>
    <w:p w14:paraId="717CC831" w14:textId="77777777" w:rsidR="00297227" w:rsidRDefault="00297227" w:rsidP="00AB563F">
      <w:pPr>
        <w:ind w:left="720"/>
      </w:pPr>
    </w:p>
    <w:p w14:paraId="5B18E687" w14:textId="27F039C9" w:rsidR="00C1460E" w:rsidRPr="00C1460E" w:rsidRDefault="00C1460E" w:rsidP="00AB563F">
      <w:pPr>
        <w:ind w:left="720"/>
      </w:pPr>
      <w:r w:rsidRPr="00E271E0">
        <w:t>CWA Rulemaking Workgroup</w:t>
      </w:r>
      <w:r>
        <w:t xml:space="preserve">: Michelle Hale (AK), Trisha </w:t>
      </w:r>
      <w:proofErr w:type="spellStart"/>
      <w:r>
        <w:t>Oeth</w:t>
      </w:r>
      <w:proofErr w:type="spellEnd"/>
      <w:r>
        <w:t xml:space="preserve"> (CO), Barry Burnell (ID), Tom Stiles (KS), </w:t>
      </w:r>
      <w:r w:rsidR="00770E30">
        <w:t xml:space="preserve">Jennifer </w:t>
      </w:r>
      <w:proofErr w:type="spellStart"/>
      <w:r w:rsidR="00770E30">
        <w:t>Verleger</w:t>
      </w:r>
      <w:proofErr w:type="spellEnd"/>
      <w:r w:rsidR="00770E30">
        <w:t xml:space="preserve"> (ND)</w:t>
      </w:r>
      <w:r>
        <w:t xml:space="preserve">, </w:t>
      </w:r>
      <w:r w:rsidR="00B86642">
        <w:t xml:space="preserve">Julie Cunningham </w:t>
      </w:r>
      <w:r>
        <w:t xml:space="preserve">(OK), Todd Chenoweth (TX), </w:t>
      </w:r>
      <w:r w:rsidR="007977A2">
        <w:t>Laura Driscoll (WA),</w:t>
      </w:r>
      <w:r>
        <w:t xml:space="preserve"> and </w:t>
      </w:r>
      <w:r w:rsidR="00E53712">
        <w:rPr>
          <w:color w:val="222222"/>
          <w:shd w:val="clear" w:color="auto" w:fill="FFFFFF"/>
        </w:rPr>
        <w:t>Kevin Frederick</w:t>
      </w:r>
      <w:r>
        <w:rPr>
          <w:color w:val="222222"/>
          <w:shd w:val="clear" w:color="auto" w:fill="FFFFFF"/>
        </w:rPr>
        <w:t xml:space="preserve"> (WY).</w:t>
      </w:r>
    </w:p>
    <w:p w14:paraId="6550A414" w14:textId="77777777" w:rsidR="00C1460E" w:rsidRPr="00C31962" w:rsidRDefault="00C1460E" w:rsidP="00AB563F">
      <w:pPr>
        <w:ind w:left="720"/>
      </w:pPr>
    </w:p>
    <w:p w14:paraId="61B387B4" w14:textId="77777777" w:rsidR="00B13C7C" w:rsidRDefault="00297227" w:rsidP="003B6CF9">
      <w:pPr>
        <w:tabs>
          <w:tab w:val="left" w:pos="720"/>
        </w:tabs>
        <w:ind w:left="720"/>
      </w:pPr>
      <w:r w:rsidRPr="00F33436">
        <w:t xml:space="preserve">*See </w:t>
      </w:r>
      <w:r w:rsidR="00995C4D">
        <w:t>Item 2</w:t>
      </w:r>
      <w:r>
        <w:t xml:space="preserve"> of the </w:t>
      </w:r>
      <w:r w:rsidR="00995C4D">
        <w:t>Legal</w:t>
      </w:r>
      <w:r w:rsidRPr="00F33436">
        <w:t xml:space="preserve"> Committee Workplan</w:t>
      </w:r>
    </w:p>
    <w:p w14:paraId="3F69E892" w14:textId="77777777" w:rsidR="00770E30" w:rsidRPr="003B6CF9" w:rsidRDefault="00770E30" w:rsidP="003B6CF9">
      <w:pPr>
        <w:tabs>
          <w:tab w:val="left" w:pos="720"/>
        </w:tabs>
        <w:ind w:left="720"/>
      </w:pPr>
    </w:p>
    <w:p w14:paraId="5D0BFD42" w14:textId="77777777" w:rsidR="0009581B" w:rsidRPr="009F2CC2" w:rsidRDefault="0009581B" w:rsidP="0009581B">
      <w:pPr>
        <w:autoSpaceDE w:val="0"/>
        <w:autoSpaceDN w:val="0"/>
        <w:adjustRightInd w:val="0"/>
        <w:ind w:firstLine="720"/>
        <w:rPr>
          <w:b/>
        </w:rPr>
      </w:pPr>
      <w:r>
        <w:rPr>
          <w:b/>
        </w:rPr>
        <w:t>b.</w:t>
      </w:r>
      <w:r>
        <w:rPr>
          <w:b/>
        </w:rPr>
        <w:tab/>
      </w:r>
      <w:r w:rsidRPr="000F069B">
        <w:rPr>
          <w:b/>
          <w:u w:val="single"/>
        </w:rPr>
        <w:t xml:space="preserve">State Revolving Funds </w:t>
      </w:r>
      <w:r>
        <w:rPr>
          <w:b/>
          <w:u w:val="single"/>
        </w:rPr>
        <w:t xml:space="preserve">(SRFs) </w:t>
      </w:r>
      <w:r w:rsidRPr="000F069B">
        <w:rPr>
          <w:b/>
          <w:u w:val="single"/>
        </w:rPr>
        <w:t>and Infrastructure Financing</w:t>
      </w:r>
      <w:r>
        <w:rPr>
          <w:b/>
        </w:rPr>
        <w:t xml:space="preserve"> </w:t>
      </w:r>
    </w:p>
    <w:p w14:paraId="2FFFAD1C" w14:textId="77777777" w:rsidR="0009581B" w:rsidRDefault="0009581B" w:rsidP="0009581B">
      <w:pPr>
        <w:autoSpaceDE w:val="0"/>
        <w:autoSpaceDN w:val="0"/>
        <w:adjustRightInd w:val="0"/>
        <w:rPr>
          <w:b/>
        </w:rPr>
      </w:pPr>
    </w:p>
    <w:p w14:paraId="7EA0E6BB" w14:textId="1F7558B4" w:rsidR="00DE118B" w:rsidRDefault="00DE118B" w:rsidP="00DE118B">
      <w:pPr>
        <w:autoSpaceDE w:val="0"/>
        <w:autoSpaceDN w:val="0"/>
        <w:adjustRightInd w:val="0"/>
        <w:ind w:left="720"/>
      </w:pPr>
      <w:r w:rsidRPr="00DA5ED0">
        <w:rPr>
          <w:b/>
        </w:rPr>
        <w:t>Background:</w:t>
      </w:r>
      <w:r>
        <w:t xml:space="preserve"> Over the years, some budget requests from the Administration have proposed cuts to the SRF programs.  Various acts of Congress have also authorized or retained a number of limitations on the use of SRF funds</w:t>
      </w:r>
      <w:r w:rsidR="00E53712">
        <w:t>, including</w:t>
      </w:r>
      <w:r>
        <w:t>: (1) “Buy American” provisions for iron and steel; (2) requirements that between 20% and 30% of SRF funds be used for principal forgiveness, negative interest loans, or grants subject to additional provisions; and (3) requirements that states use at least 10% of their SRF funds for green infrastructure, water or energy efficiency improvements, or other “environmentally innovative” activities.</w:t>
      </w:r>
    </w:p>
    <w:p w14:paraId="7DC092C9" w14:textId="77777777" w:rsidR="00DE118B" w:rsidRDefault="00DE118B" w:rsidP="00DE118B">
      <w:pPr>
        <w:autoSpaceDE w:val="0"/>
        <w:autoSpaceDN w:val="0"/>
        <w:adjustRightInd w:val="0"/>
        <w:ind w:left="720"/>
      </w:pPr>
    </w:p>
    <w:p w14:paraId="1E4AE9BA" w14:textId="5E4478BC" w:rsidR="00DE118B" w:rsidRDefault="00186C75" w:rsidP="00E53712">
      <w:pPr>
        <w:ind w:left="720"/>
      </w:pPr>
      <w:r w:rsidRPr="00186C75">
        <w:t xml:space="preserve">On April 10, 2017, the Water Infrastructure Finance and Innovation Act (WIFIA) program closed its first selection round for credit assistance. EPA received 43 letters of interest from entities seeking loans to fund water infrastructure projects located all around the country. In this round, EPA will make available the up to $17 million of budget authority appropriated to provide approximately $1 billion in credit assistance. Prospective borrowers requested more than $6 billion in credit assistance to support over $12 billion in total infrastructure investment </w:t>
      </w:r>
      <w:hyperlink r:id="rId9" w:history="1">
        <w:r w:rsidRPr="00186C75">
          <w:rPr>
            <w:rStyle w:val="Hyperlink"/>
            <w:color w:val="auto"/>
          </w:rPr>
          <w:t>press release</w:t>
        </w:r>
      </w:hyperlink>
      <w:r w:rsidRPr="00186C75">
        <w:t>.</w:t>
      </w:r>
    </w:p>
    <w:p w14:paraId="3AF540AA" w14:textId="77777777" w:rsidR="00DE118B" w:rsidRDefault="00DE118B" w:rsidP="0009581B">
      <w:pPr>
        <w:autoSpaceDE w:val="0"/>
        <w:autoSpaceDN w:val="0"/>
        <w:adjustRightInd w:val="0"/>
        <w:ind w:left="720"/>
        <w:rPr>
          <w:b/>
        </w:rPr>
      </w:pPr>
    </w:p>
    <w:p w14:paraId="6DBE8728" w14:textId="717BD378" w:rsidR="0009581B" w:rsidRDefault="0009581B" w:rsidP="0009581B">
      <w:pPr>
        <w:autoSpaceDE w:val="0"/>
        <w:autoSpaceDN w:val="0"/>
        <w:adjustRightInd w:val="0"/>
        <w:ind w:left="720"/>
      </w:pPr>
      <w:r>
        <w:rPr>
          <w:b/>
        </w:rPr>
        <w:t xml:space="preserve"> </w:t>
      </w:r>
      <w:r>
        <w:t>WSWC Position #</w:t>
      </w:r>
      <w:r w:rsidR="005C628E">
        <w:t>404</w:t>
      </w:r>
      <w:r w:rsidR="00122C17">
        <w:t xml:space="preserve"> </w:t>
      </w:r>
      <w:r>
        <w:t>urge</w:t>
      </w:r>
      <w:r w:rsidR="00995C4D">
        <w:t>s</w:t>
      </w:r>
      <w:r>
        <w:t xml:space="preserve"> the Administration and Congress </w:t>
      </w:r>
      <w:r w:rsidR="00122C17">
        <w:t>to</w:t>
      </w:r>
      <w:r>
        <w:t xml:space="preserve"> provide greater flexibility and fewer restrictions on state SRF management</w:t>
      </w:r>
      <w:r w:rsidR="00242804">
        <w:t xml:space="preserve"> and stable and continuing appropriations to the SRF capitalization grants at funding levels that are adequate to help states address their water infrastructure needs.</w:t>
      </w:r>
      <w:r w:rsidR="00903EB0">
        <w:t xml:space="preserve">  WGA resolution </w:t>
      </w:r>
      <w:r w:rsidR="00B47C23">
        <w:t>2017</w:t>
      </w:r>
      <w:r w:rsidR="00903EB0">
        <w:t>-04</w:t>
      </w:r>
      <w:r w:rsidR="00B47C23">
        <w:t>, Water Quality in the West,</w:t>
      </w:r>
      <w:r w:rsidR="00903EB0">
        <w:t xml:space="preserve"> also supports the SRFs as “important tools” and requests greater flexibility and fewer restrictions on state SRF management. </w:t>
      </w:r>
    </w:p>
    <w:p w14:paraId="4153FBB9" w14:textId="77777777" w:rsidR="00995C4D" w:rsidRDefault="00995C4D" w:rsidP="00DE118B">
      <w:pPr>
        <w:autoSpaceDE w:val="0"/>
        <w:autoSpaceDN w:val="0"/>
        <w:adjustRightInd w:val="0"/>
      </w:pPr>
    </w:p>
    <w:p w14:paraId="4DECBB27" w14:textId="3C916130" w:rsidR="00F34C17" w:rsidRPr="001A79F6" w:rsidRDefault="008367B6" w:rsidP="00F34C17">
      <w:pPr>
        <w:pStyle w:val="CommentText"/>
        <w:ind w:left="720"/>
        <w:rPr>
          <w:sz w:val="24"/>
          <w:szCs w:val="24"/>
        </w:rPr>
      </w:pPr>
      <w:r w:rsidRPr="00900F2A">
        <w:rPr>
          <w:b/>
          <w:sz w:val="24"/>
          <w:szCs w:val="24"/>
        </w:rPr>
        <w:t>2017</w:t>
      </w:r>
      <w:r w:rsidR="0009581B" w:rsidRPr="00900F2A">
        <w:rPr>
          <w:b/>
          <w:sz w:val="24"/>
          <w:szCs w:val="24"/>
        </w:rPr>
        <w:t>-</w:t>
      </w:r>
      <w:r w:rsidR="00AB563F" w:rsidRPr="00900F2A">
        <w:rPr>
          <w:b/>
          <w:sz w:val="24"/>
          <w:szCs w:val="24"/>
        </w:rPr>
        <w:t>201</w:t>
      </w:r>
      <w:r w:rsidRPr="00900F2A">
        <w:rPr>
          <w:b/>
          <w:sz w:val="24"/>
          <w:szCs w:val="24"/>
        </w:rPr>
        <w:t>8</w:t>
      </w:r>
      <w:r w:rsidR="0009581B" w:rsidRPr="00900F2A">
        <w:rPr>
          <w:b/>
          <w:sz w:val="24"/>
          <w:szCs w:val="24"/>
        </w:rPr>
        <w:t xml:space="preserve">:  </w:t>
      </w:r>
      <w:r w:rsidR="0009581B" w:rsidRPr="00900F2A">
        <w:rPr>
          <w:sz w:val="24"/>
          <w:szCs w:val="24"/>
        </w:rPr>
        <w:t xml:space="preserve">The Committee will </w:t>
      </w:r>
      <w:r w:rsidR="004600E8" w:rsidRPr="00900F2A">
        <w:rPr>
          <w:sz w:val="24"/>
          <w:szCs w:val="24"/>
        </w:rPr>
        <w:t>support</w:t>
      </w:r>
      <w:r w:rsidR="0009581B" w:rsidRPr="00900F2A">
        <w:rPr>
          <w:sz w:val="24"/>
          <w:szCs w:val="24"/>
        </w:rPr>
        <w:t xml:space="preserve"> </w:t>
      </w:r>
      <w:r w:rsidR="00C829A2" w:rsidRPr="00900F2A">
        <w:rPr>
          <w:sz w:val="24"/>
          <w:szCs w:val="24"/>
        </w:rPr>
        <w:t>the WGA and WSWC positions</w:t>
      </w:r>
      <w:r w:rsidR="0009581B" w:rsidRPr="00900F2A">
        <w:rPr>
          <w:sz w:val="24"/>
          <w:szCs w:val="24"/>
        </w:rPr>
        <w:t xml:space="preserve">.  </w:t>
      </w:r>
      <w:proofErr w:type="gramStart"/>
      <w:r w:rsidR="0009581B" w:rsidRPr="00900F2A">
        <w:rPr>
          <w:sz w:val="24"/>
          <w:szCs w:val="24"/>
        </w:rPr>
        <w:t>In particular, WSWC</w:t>
      </w:r>
      <w:proofErr w:type="gramEnd"/>
      <w:r w:rsidR="0009581B" w:rsidRPr="00900F2A">
        <w:rPr>
          <w:sz w:val="24"/>
          <w:szCs w:val="24"/>
        </w:rPr>
        <w:t xml:space="preserve"> staff will continue to update the Committee on developments within Congress and the Administration that have the potential to impact the SRFs.  As needed, Committee members and WSWC staff will also meet with the Administration and Congress to further the objectives of the WGA</w:t>
      </w:r>
      <w:r w:rsidR="00903EB0" w:rsidRPr="00900F2A">
        <w:rPr>
          <w:sz w:val="24"/>
          <w:szCs w:val="24"/>
        </w:rPr>
        <w:t xml:space="preserve"> and </w:t>
      </w:r>
      <w:r w:rsidR="0009581B" w:rsidRPr="00900F2A">
        <w:rPr>
          <w:sz w:val="24"/>
          <w:szCs w:val="24"/>
        </w:rPr>
        <w:t>WSWC position</w:t>
      </w:r>
      <w:r w:rsidR="00903EB0" w:rsidRPr="00900F2A">
        <w:rPr>
          <w:sz w:val="24"/>
          <w:szCs w:val="24"/>
        </w:rPr>
        <w:t>s</w:t>
      </w:r>
      <w:r w:rsidR="00F34C17" w:rsidRPr="00900F2A">
        <w:rPr>
          <w:sz w:val="24"/>
          <w:szCs w:val="24"/>
        </w:rPr>
        <w:t>.</w:t>
      </w:r>
      <w:r w:rsidR="00F34C17">
        <w:t xml:space="preserve"> </w:t>
      </w:r>
      <w:r w:rsidR="00F34C17" w:rsidRPr="001A79F6">
        <w:rPr>
          <w:sz w:val="24"/>
          <w:szCs w:val="24"/>
        </w:rPr>
        <w:t xml:space="preserve"> </w:t>
      </w:r>
      <w:r w:rsidR="00186C75">
        <w:rPr>
          <w:sz w:val="24"/>
          <w:szCs w:val="24"/>
        </w:rPr>
        <w:t>Some topics for discussion include</w:t>
      </w:r>
      <w:r w:rsidR="00900F2A" w:rsidRPr="00900F2A">
        <w:rPr>
          <w:sz w:val="24"/>
          <w:szCs w:val="24"/>
        </w:rPr>
        <w:t xml:space="preserve"> state experiences with Buy American and Davis-Bacon, whether there are otherwise eligible entities, and how many, that are walking away from SRFs because of these restrictions, the right of first refusal of the SRF prior to funding projects by WIFIA, and first round funded WIFIA projects in member states.</w:t>
      </w:r>
    </w:p>
    <w:p w14:paraId="0DD4A3EF" w14:textId="77777777" w:rsidR="0009581B" w:rsidRDefault="0009581B" w:rsidP="0009581B">
      <w:pPr>
        <w:autoSpaceDE w:val="0"/>
        <w:autoSpaceDN w:val="0"/>
        <w:adjustRightInd w:val="0"/>
        <w:ind w:left="720"/>
      </w:pPr>
    </w:p>
    <w:p w14:paraId="31A1B65B" w14:textId="77777777" w:rsidR="0009581B" w:rsidRDefault="0009581B" w:rsidP="0009581B">
      <w:pPr>
        <w:autoSpaceDE w:val="0"/>
        <w:autoSpaceDN w:val="0"/>
        <w:adjustRightInd w:val="0"/>
        <w:ind w:left="720"/>
      </w:pPr>
      <w:r>
        <w:rPr>
          <w:b/>
        </w:rPr>
        <w:t xml:space="preserve">Time Frame:  </w:t>
      </w:r>
      <w:r>
        <w:t xml:space="preserve">Ongoing </w:t>
      </w:r>
    </w:p>
    <w:p w14:paraId="23DD932F" w14:textId="77777777" w:rsidR="0009581B" w:rsidRDefault="0009581B" w:rsidP="006E100E">
      <w:pPr>
        <w:autoSpaceDE w:val="0"/>
        <w:autoSpaceDN w:val="0"/>
        <w:adjustRightInd w:val="0"/>
      </w:pPr>
    </w:p>
    <w:p w14:paraId="0664288D" w14:textId="77777777" w:rsidR="00933427" w:rsidRPr="004B3418" w:rsidRDefault="004B3418" w:rsidP="00DE40F7">
      <w:pPr>
        <w:autoSpaceDE w:val="0"/>
        <w:autoSpaceDN w:val="0"/>
        <w:adjustRightInd w:val="0"/>
        <w:rPr>
          <w:b/>
        </w:rPr>
      </w:pPr>
      <w:r>
        <w:tab/>
      </w:r>
      <w:r w:rsidR="0009581B">
        <w:rPr>
          <w:b/>
        </w:rPr>
        <w:t>c</w:t>
      </w:r>
      <w:r>
        <w:rPr>
          <w:b/>
        </w:rPr>
        <w:t>.</w:t>
      </w:r>
      <w:r>
        <w:rPr>
          <w:b/>
        </w:rPr>
        <w:tab/>
      </w:r>
      <w:r w:rsidRPr="000F069B">
        <w:rPr>
          <w:b/>
          <w:u w:val="single"/>
        </w:rPr>
        <w:t>EPA</w:t>
      </w:r>
      <w:r w:rsidR="000F069B">
        <w:rPr>
          <w:b/>
          <w:u w:val="single"/>
        </w:rPr>
        <w:t>’s</w:t>
      </w:r>
      <w:r w:rsidRPr="000F069B">
        <w:rPr>
          <w:b/>
          <w:u w:val="single"/>
        </w:rPr>
        <w:t xml:space="preserve"> Water Transfers Rule</w:t>
      </w:r>
    </w:p>
    <w:p w14:paraId="4B745EB9" w14:textId="77777777" w:rsidR="004B3418" w:rsidRPr="004B3418" w:rsidRDefault="004B3418" w:rsidP="00933427">
      <w:pPr>
        <w:autoSpaceDE w:val="0"/>
        <w:autoSpaceDN w:val="0"/>
        <w:adjustRightInd w:val="0"/>
        <w:rPr>
          <w:u w:val="single"/>
        </w:rPr>
      </w:pPr>
    </w:p>
    <w:p w14:paraId="469BA777" w14:textId="42B16923" w:rsidR="00E02C37" w:rsidRDefault="00DA5ED0" w:rsidP="00E53712">
      <w:pPr>
        <w:widowControl w:val="0"/>
        <w:kinsoku w:val="0"/>
        <w:ind w:left="720"/>
      </w:pPr>
      <w:r w:rsidRPr="00DA5ED0">
        <w:rPr>
          <w:b/>
        </w:rPr>
        <w:t>Background:</w:t>
      </w:r>
      <w:r>
        <w:t xml:space="preserve"> </w:t>
      </w:r>
      <w:r w:rsidR="00E02C37">
        <w:t xml:space="preserve">On January 18, 2017, the </w:t>
      </w:r>
      <w:r w:rsidR="00E02C37" w:rsidRPr="00FA5DE4">
        <w:t>2</w:t>
      </w:r>
      <w:r w:rsidR="00E02C37" w:rsidRPr="00FA5DE4">
        <w:rPr>
          <w:vertAlign w:val="superscript"/>
        </w:rPr>
        <w:t>nd</w:t>
      </w:r>
      <w:r w:rsidR="00E02C37" w:rsidRPr="00FA5DE4">
        <w:t xml:space="preserve"> Circuit </w:t>
      </w:r>
      <w:r w:rsidR="00E02C37">
        <w:t xml:space="preserve">upheld the EPA’s Water Transfers Rule, </w:t>
      </w:r>
      <w:r w:rsidR="00E02C37" w:rsidRPr="00FA5DE4">
        <w:t>40 CFR §122.3(</w:t>
      </w:r>
      <w:proofErr w:type="spellStart"/>
      <w:r w:rsidR="00E02C37" w:rsidRPr="00FA5DE4">
        <w:t>i</w:t>
      </w:r>
      <w:proofErr w:type="spellEnd"/>
      <w:r w:rsidR="00E02C37" w:rsidRPr="00FA5DE4">
        <w:t>)</w:t>
      </w:r>
      <w:r w:rsidR="00E02C37">
        <w:t xml:space="preserve">, </w:t>
      </w:r>
      <w:r w:rsidR="00E02C37" w:rsidRPr="00FA5DE4">
        <w:t xml:space="preserve">in </w:t>
      </w:r>
      <w:r w:rsidR="00E02C37" w:rsidRPr="00FA5DE4">
        <w:rPr>
          <w:i/>
          <w:iCs/>
        </w:rPr>
        <w:t>Catskills Mountains Chapter of Trout Unlimited v. EPA</w:t>
      </w:r>
      <w:r w:rsidR="00E02C37" w:rsidRPr="00FA5DE4">
        <w:t>, No. 14-01991</w:t>
      </w:r>
      <w:r w:rsidR="00E02C37">
        <w:t>. The Court of Appeals reversed the decision of the U.S. District Court for the Southern District of New York, which previously vacated the EPA’s rule.</w:t>
      </w:r>
    </w:p>
    <w:p w14:paraId="5DB0C9F8" w14:textId="77777777" w:rsidR="00FA5DE4" w:rsidRPr="00E05D99" w:rsidRDefault="00FA5DE4" w:rsidP="00FA5DE4"/>
    <w:p w14:paraId="624121E2" w14:textId="218F4361" w:rsidR="00FA5DE4" w:rsidRDefault="00FA5DE4" w:rsidP="00FA5DE4">
      <w:pPr>
        <w:autoSpaceDE w:val="0"/>
        <w:autoSpaceDN w:val="0"/>
        <w:adjustRightInd w:val="0"/>
        <w:ind w:left="720"/>
      </w:pPr>
      <w:r w:rsidRPr="00953E9E">
        <w:t>Paragraph B(2)</w:t>
      </w:r>
      <w:r>
        <w:t>(c</w:t>
      </w:r>
      <w:r w:rsidRPr="00953E9E">
        <w:t>) of WGA Resolution #</w:t>
      </w:r>
      <w:r>
        <w:t>201</w:t>
      </w:r>
      <w:r w:rsidR="00AA3ACC">
        <w:t>7</w:t>
      </w:r>
      <w:r>
        <w:t xml:space="preserve">-04 and </w:t>
      </w:r>
      <w:r w:rsidRPr="00F92C43">
        <w:t>WSWC Position #</w:t>
      </w:r>
      <w:r w:rsidR="00AA3ACC">
        <w:t xml:space="preserve">382 </w:t>
      </w:r>
      <w:r>
        <w:t xml:space="preserve">generally support EPA’s Water Transfers Rule </w:t>
      </w:r>
      <w:r w:rsidRPr="00F92C43">
        <w:t>(40 C.F.R. § 122.3(</w:t>
      </w:r>
      <w:proofErr w:type="spellStart"/>
      <w:r w:rsidRPr="00F92C43">
        <w:t>i</w:t>
      </w:r>
      <w:proofErr w:type="spellEnd"/>
      <w:r w:rsidRPr="00F92C43">
        <w:t>))</w:t>
      </w:r>
      <w:r>
        <w:t>, which</w:t>
      </w:r>
      <w:r w:rsidRPr="00F92C43">
        <w:t xml:space="preserve"> clarif</w:t>
      </w:r>
      <w:r>
        <w:t>ies</w:t>
      </w:r>
      <w:r w:rsidRPr="00F92C43">
        <w:t xml:space="preserve"> that water transfers </w:t>
      </w:r>
      <w:r>
        <w:t xml:space="preserve">from one “navigable” water to another </w:t>
      </w:r>
      <w:r w:rsidRPr="00F92C43">
        <w:t xml:space="preserve">are exempt from </w:t>
      </w:r>
      <w:r>
        <w:t xml:space="preserve">National Pollutant Discharge Elimination System (NPDES) </w:t>
      </w:r>
      <w:r w:rsidRPr="00F92C43">
        <w:t xml:space="preserve">permitting under </w:t>
      </w:r>
      <w:r>
        <w:t>S</w:t>
      </w:r>
      <w:r w:rsidRPr="00F92C43">
        <w:t xml:space="preserve">ection 402 of the CWA.  The rule states that transfers do not require NPDES permits if they do not add pollutants and </w:t>
      </w:r>
      <w:r>
        <w:t xml:space="preserve">if </w:t>
      </w:r>
      <w:r w:rsidRPr="00F92C43">
        <w:t>there is no intervening municipal, industrial, or commercial use between the diversion and the discharge of the transferred water</w:t>
      </w:r>
      <w:r>
        <w:t>.</w:t>
      </w:r>
      <w:r w:rsidRPr="00F92C43">
        <w:t xml:space="preserve"> </w:t>
      </w:r>
    </w:p>
    <w:p w14:paraId="77BDBF6D" w14:textId="77777777" w:rsidR="00E02C37" w:rsidRDefault="00E02C37" w:rsidP="00FA5DE4">
      <w:pPr>
        <w:autoSpaceDE w:val="0"/>
        <w:autoSpaceDN w:val="0"/>
        <w:adjustRightInd w:val="0"/>
        <w:ind w:left="720"/>
      </w:pPr>
    </w:p>
    <w:p w14:paraId="4565C11E" w14:textId="497CC334" w:rsidR="00E02C37" w:rsidRPr="00F92C43" w:rsidRDefault="00E02C37" w:rsidP="00FA5DE4">
      <w:pPr>
        <w:autoSpaceDE w:val="0"/>
        <w:autoSpaceDN w:val="0"/>
        <w:adjustRightInd w:val="0"/>
        <w:ind w:left="720"/>
      </w:pPr>
      <w:r>
        <w:t>Efforts are underway to codify the Water Transfers Rule</w:t>
      </w:r>
      <w:r w:rsidR="00317471">
        <w:t xml:space="preserve">, </w:t>
      </w:r>
      <w:r w:rsidR="00D02DA9">
        <w:t xml:space="preserve">seeking </w:t>
      </w:r>
      <w:r w:rsidR="00317471">
        <w:t>support from WGA, WSWC, and other state organizations</w:t>
      </w:r>
      <w:r>
        <w:t>.</w:t>
      </w:r>
    </w:p>
    <w:p w14:paraId="6BAE73F0" w14:textId="77777777" w:rsidR="00E05D99" w:rsidRDefault="00E05D99" w:rsidP="004B3418">
      <w:pPr>
        <w:widowControl w:val="0"/>
        <w:kinsoku w:val="0"/>
        <w:ind w:left="720"/>
      </w:pPr>
    </w:p>
    <w:p w14:paraId="1EA2A870" w14:textId="77777777" w:rsidR="00A13AF5" w:rsidRPr="00F92C43" w:rsidRDefault="00AB563F" w:rsidP="004B3418">
      <w:pPr>
        <w:widowControl w:val="0"/>
        <w:kinsoku w:val="0"/>
        <w:ind w:left="720"/>
      </w:pPr>
      <w:r w:rsidRPr="00F92C43">
        <w:rPr>
          <w:b/>
        </w:rPr>
        <w:t>201</w:t>
      </w:r>
      <w:r w:rsidR="008367B6">
        <w:rPr>
          <w:b/>
        </w:rPr>
        <w:t>7</w:t>
      </w:r>
      <w:r w:rsidR="00FA7339" w:rsidRPr="00F92C43">
        <w:rPr>
          <w:b/>
        </w:rPr>
        <w:t>-</w:t>
      </w:r>
      <w:r w:rsidRPr="00F92C43">
        <w:rPr>
          <w:b/>
        </w:rPr>
        <w:t>201</w:t>
      </w:r>
      <w:r w:rsidR="008367B6">
        <w:rPr>
          <w:b/>
        </w:rPr>
        <w:t>8</w:t>
      </w:r>
      <w:r w:rsidR="00FA7339" w:rsidRPr="00F92C43">
        <w:rPr>
          <w:b/>
        </w:rPr>
        <w:t xml:space="preserve">:  </w:t>
      </w:r>
      <w:r w:rsidR="00FA7339" w:rsidRPr="00F92C43">
        <w:t xml:space="preserve">The </w:t>
      </w:r>
      <w:r w:rsidR="00A13AF5" w:rsidRPr="00F92C43">
        <w:t>Committee</w:t>
      </w:r>
      <w:r w:rsidR="00FA7339" w:rsidRPr="00F92C43">
        <w:t xml:space="preserve"> </w:t>
      </w:r>
      <w:r w:rsidR="00A72FC3" w:rsidRPr="00F92C43">
        <w:t xml:space="preserve">and WSWC staff </w:t>
      </w:r>
      <w:r w:rsidR="00FA7339" w:rsidRPr="00F92C43">
        <w:t>will</w:t>
      </w:r>
      <w:r w:rsidR="00A13AF5" w:rsidRPr="00F92C43">
        <w:t xml:space="preserve">: (1) continue to </w:t>
      </w:r>
      <w:r w:rsidR="00CD605D">
        <w:t xml:space="preserve">support the </w:t>
      </w:r>
      <w:r w:rsidR="00281DBD">
        <w:t xml:space="preserve">WGA and </w:t>
      </w:r>
      <w:r w:rsidR="00CD605D">
        <w:t>WSWC position</w:t>
      </w:r>
      <w:r w:rsidR="00281DBD">
        <w:t>s</w:t>
      </w:r>
      <w:r w:rsidR="00A13AF5" w:rsidRPr="00F92C43">
        <w:t xml:space="preserve">; (2) monitor </w:t>
      </w:r>
      <w:proofErr w:type="gramStart"/>
      <w:r w:rsidR="00A13AF5" w:rsidRPr="00F92C43">
        <w:t>any and all</w:t>
      </w:r>
      <w:proofErr w:type="gramEnd"/>
      <w:r w:rsidR="00A13AF5" w:rsidRPr="00F92C43">
        <w:t xml:space="preserve"> activities impacting EPA’s rule</w:t>
      </w:r>
      <w:r w:rsidR="005F2DB7" w:rsidRPr="00F92C43">
        <w:t xml:space="preserve">, including but not limited to the </w:t>
      </w:r>
      <w:r w:rsidR="007530EA">
        <w:t xml:space="preserve">Second Circuit </w:t>
      </w:r>
      <w:r w:rsidR="005F2DB7" w:rsidRPr="00F92C43">
        <w:t xml:space="preserve">litigation and </w:t>
      </w:r>
      <w:r w:rsidR="00DD270D">
        <w:t xml:space="preserve">possible efforts by </w:t>
      </w:r>
      <w:r w:rsidR="005F2DB7" w:rsidRPr="00F92C43">
        <w:t>EPA to reconsider the rule</w:t>
      </w:r>
      <w:r w:rsidR="00A13AF5" w:rsidRPr="00F92C43">
        <w:t xml:space="preserve">; (3) </w:t>
      </w:r>
      <w:r w:rsidR="0015638F" w:rsidRPr="00F92C43">
        <w:t>inform</w:t>
      </w:r>
      <w:r w:rsidR="00A13AF5" w:rsidRPr="00F92C43">
        <w:t xml:space="preserve"> the WSWC of </w:t>
      </w:r>
      <w:r w:rsidR="0015638F" w:rsidRPr="00F92C43">
        <w:t xml:space="preserve">ongoing </w:t>
      </w:r>
      <w:r w:rsidR="00A13AF5" w:rsidRPr="00F92C43">
        <w:t>developments</w:t>
      </w:r>
      <w:r w:rsidR="0044499D">
        <w:t>; and (4) take any other actions needed to support the WGA/WSWC positions regarding the rule</w:t>
      </w:r>
      <w:r w:rsidR="00A13AF5" w:rsidRPr="00F92C43">
        <w:t>.</w:t>
      </w:r>
    </w:p>
    <w:p w14:paraId="61249A0A" w14:textId="77777777" w:rsidR="0039340A" w:rsidRPr="00F92C43" w:rsidRDefault="0039340A" w:rsidP="004B3418">
      <w:pPr>
        <w:widowControl w:val="0"/>
        <w:kinsoku w:val="0"/>
        <w:ind w:left="720"/>
      </w:pPr>
    </w:p>
    <w:p w14:paraId="54366B2A" w14:textId="77777777" w:rsidR="0039340A" w:rsidRDefault="0039340A" w:rsidP="004B3418">
      <w:pPr>
        <w:widowControl w:val="0"/>
        <w:kinsoku w:val="0"/>
        <w:ind w:left="720"/>
      </w:pPr>
      <w:r w:rsidRPr="00F92C43">
        <w:rPr>
          <w:b/>
        </w:rPr>
        <w:t xml:space="preserve">Time Frame:  </w:t>
      </w:r>
      <w:r w:rsidRPr="00F92C43">
        <w:t xml:space="preserve">Ongoing </w:t>
      </w:r>
    </w:p>
    <w:p w14:paraId="46BA1BED" w14:textId="061AC02B" w:rsidR="0067422F" w:rsidRDefault="0067422F" w:rsidP="006E100E">
      <w:pPr>
        <w:autoSpaceDE w:val="0"/>
        <w:autoSpaceDN w:val="0"/>
        <w:adjustRightInd w:val="0"/>
      </w:pPr>
    </w:p>
    <w:p w14:paraId="4B4AE745" w14:textId="31276292" w:rsidR="00E53712" w:rsidRDefault="00E53712" w:rsidP="006E100E">
      <w:pPr>
        <w:autoSpaceDE w:val="0"/>
        <w:autoSpaceDN w:val="0"/>
        <w:adjustRightInd w:val="0"/>
      </w:pPr>
    </w:p>
    <w:p w14:paraId="4EFD5969" w14:textId="77777777" w:rsidR="00E53712" w:rsidRDefault="00E53712" w:rsidP="006E100E">
      <w:pPr>
        <w:autoSpaceDE w:val="0"/>
        <w:autoSpaceDN w:val="0"/>
        <w:adjustRightInd w:val="0"/>
      </w:pPr>
      <w:bookmarkStart w:id="0" w:name="_GoBack"/>
      <w:bookmarkEnd w:id="0"/>
    </w:p>
    <w:p w14:paraId="59461D51" w14:textId="2786A404" w:rsidR="00A50950" w:rsidRDefault="009F2CC2" w:rsidP="00E53712">
      <w:pPr>
        <w:autoSpaceDE w:val="0"/>
        <w:autoSpaceDN w:val="0"/>
        <w:adjustRightInd w:val="0"/>
        <w:rPr>
          <w:b/>
          <w:u w:val="single"/>
        </w:rPr>
      </w:pPr>
      <w:r>
        <w:rPr>
          <w:b/>
        </w:rPr>
        <w:lastRenderedPageBreak/>
        <w:tab/>
      </w:r>
      <w:r w:rsidR="00F46C2F">
        <w:t xml:space="preserve"> </w:t>
      </w:r>
      <w:r>
        <w:rPr>
          <w:b/>
        </w:rPr>
        <w:t>d.</w:t>
      </w:r>
      <w:r>
        <w:rPr>
          <w:b/>
        </w:rPr>
        <w:tab/>
      </w:r>
      <w:r w:rsidRPr="000F069B">
        <w:rPr>
          <w:b/>
          <w:u w:val="single"/>
        </w:rPr>
        <w:t>Nutrients</w:t>
      </w:r>
    </w:p>
    <w:p w14:paraId="734EFEBF" w14:textId="77777777" w:rsidR="00E53712" w:rsidRPr="00E53712" w:rsidRDefault="00E53712" w:rsidP="00E53712">
      <w:pPr>
        <w:autoSpaceDE w:val="0"/>
        <w:autoSpaceDN w:val="0"/>
        <w:adjustRightInd w:val="0"/>
        <w:rPr>
          <w:b/>
        </w:rPr>
      </w:pPr>
    </w:p>
    <w:p w14:paraId="71DFA249" w14:textId="77777777" w:rsidR="00A50950" w:rsidRDefault="00A50950" w:rsidP="00A50950">
      <w:pPr>
        <w:pStyle w:val="NormalWeb"/>
        <w:shd w:val="clear" w:color="auto" w:fill="FFFFFF"/>
        <w:spacing w:before="0" w:beforeAutospacing="0" w:after="0" w:afterAutospacing="0"/>
        <w:ind w:left="720"/>
      </w:pPr>
      <w:r w:rsidRPr="007977A2">
        <w:rPr>
          <w:b/>
        </w:rPr>
        <w:t>Background:</w:t>
      </w:r>
      <w:r>
        <w:t xml:space="preserve"> EPA’s Office of Water released the Nancy Stoner </w:t>
      </w:r>
      <w:proofErr w:type="gramStart"/>
      <w:r>
        <w:t>memo</w:t>
      </w:r>
      <w:proofErr w:type="gramEnd"/>
      <w:r>
        <w:t xml:space="preserve"> </w:t>
      </w:r>
      <w:r w:rsidRPr="00A50950">
        <w:rPr>
          <w:i/>
        </w:rPr>
        <w:t>Working in Partnership with States to Address Phosphorus and Nitrogen Pollution through Use of a Framework for State Nutrient Reductions</w:t>
      </w:r>
      <w:r>
        <w:t xml:space="preserve"> on March 16, 2011, and the Joel Beauvais memo </w:t>
      </w:r>
      <w:r w:rsidRPr="00A50950">
        <w:rPr>
          <w:i/>
        </w:rPr>
        <w:t>Renewed Call to Action to Reduce Nutrient Pollution and Support for Incremental Actions to Protect Water Quality and Public Health</w:t>
      </w:r>
      <w:r>
        <w:t xml:space="preserve"> on September 22, 2016.</w:t>
      </w:r>
    </w:p>
    <w:p w14:paraId="2B61C002" w14:textId="77777777" w:rsidR="00A50950" w:rsidRDefault="00A50950" w:rsidP="00A50950">
      <w:pPr>
        <w:pStyle w:val="NormalWeb"/>
        <w:shd w:val="clear" w:color="auto" w:fill="FFFFFF"/>
        <w:spacing w:before="0" w:beforeAutospacing="0" w:after="0" w:afterAutospacing="0"/>
        <w:ind w:left="720"/>
      </w:pPr>
    </w:p>
    <w:p w14:paraId="600FDF5F" w14:textId="77777777" w:rsidR="00A50950" w:rsidRDefault="00A50950" w:rsidP="00A50950">
      <w:pPr>
        <w:pStyle w:val="NormalWeb"/>
        <w:shd w:val="clear" w:color="auto" w:fill="FFFFFF"/>
        <w:spacing w:before="0" w:beforeAutospacing="0" w:after="0" w:afterAutospacing="0"/>
        <w:ind w:left="720"/>
      </w:pPr>
      <w:r>
        <w:t>The Beauvais memo highlights the continued need for action by states and other stakeholders to reduce the threat of nutrients to water quality and public health by</w:t>
      </w:r>
    </w:p>
    <w:p w14:paraId="5BF926C3" w14:textId="77777777" w:rsidR="00A50950" w:rsidRDefault="00A50950" w:rsidP="007977A2">
      <w:pPr>
        <w:pStyle w:val="NormalWeb"/>
        <w:numPr>
          <w:ilvl w:val="0"/>
          <w:numId w:val="7"/>
        </w:numPr>
        <w:shd w:val="clear" w:color="auto" w:fill="FFFFFF"/>
        <w:spacing w:before="0" w:beforeAutospacing="0" w:after="0" w:afterAutospacing="0"/>
      </w:pPr>
      <w:r>
        <w:t>Reducing impacts to public health from nitrates in sources of drinking water and from nitrogen and phosphorus pollution contributing to harmful algal blooms;</w:t>
      </w:r>
    </w:p>
    <w:p w14:paraId="0050EC39" w14:textId="77777777" w:rsidR="00A50950" w:rsidRDefault="00A50950" w:rsidP="007977A2">
      <w:pPr>
        <w:pStyle w:val="NormalWeb"/>
        <w:numPr>
          <w:ilvl w:val="0"/>
          <w:numId w:val="7"/>
        </w:numPr>
        <w:shd w:val="clear" w:color="auto" w:fill="FFFFFF"/>
        <w:spacing w:before="0" w:beforeAutospacing="0" w:after="0" w:afterAutospacing="0"/>
      </w:pPr>
      <w:r>
        <w:t>Reducing nutrients from point and nonpoint sources;</w:t>
      </w:r>
    </w:p>
    <w:p w14:paraId="3B82F0F8" w14:textId="77777777" w:rsidR="00A50950" w:rsidRDefault="00A50950" w:rsidP="007977A2">
      <w:pPr>
        <w:pStyle w:val="NormalWeb"/>
        <w:numPr>
          <w:ilvl w:val="0"/>
          <w:numId w:val="7"/>
        </w:numPr>
        <w:shd w:val="clear" w:color="auto" w:fill="FFFFFF"/>
        <w:spacing w:before="0" w:beforeAutospacing="0" w:after="0" w:afterAutospacing="0"/>
      </w:pPr>
      <w:r>
        <w:t>Prioritizing watersheds and setting load reductions;</w:t>
      </w:r>
    </w:p>
    <w:p w14:paraId="29631EA8" w14:textId="77777777" w:rsidR="00A50950" w:rsidRDefault="00A50950" w:rsidP="007977A2">
      <w:pPr>
        <w:pStyle w:val="NormalWeb"/>
        <w:numPr>
          <w:ilvl w:val="0"/>
          <w:numId w:val="7"/>
        </w:numPr>
        <w:shd w:val="clear" w:color="auto" w:fill="FFFFFF"/>
        <w:spacing w:before="0" w:beforeAutospacing="0" w:after="0" w:afterAutospacing="0"/>
      </w:pPr>
      <w:r>
        <w:t>Strengthening water quality standards;</w:t>
      </w:r>
    </w:p>
    <w:p w14:paraId="5A9BDC9C" w14:textId="77777777" w:rsidR="00A50950" w:rsidRDefault="00A50950" w:rsidP="007977A2">
      <w:pPr>
        <w:pStyle w:val="NormalWeb"/>
        <w:numPr>
          <w:ilvl w:val="0"/>
          <w:numId w:val="7"/>
        </w:numPr>
        <w:shd w:val="clear" w:color="auto" w:fill="FFFFFF"/>
        <w:spacing w:before="0" w:beforeAutospacing="0" w:after="0" w:afterAutospacing="0"/>
      </w:pPr>
      <w:r>
        <w:t>Highlighting highlight high priority incremental actions of states;</w:t>
      </w:r>
    </w:p>
    <w:p w14:paraId="286B34C0" w14:textId="77777777" w:rsidR="00A50950" w:rsidRDefault="00A50950" w:rsidP="007977A2">
      <w:pPr>
        <w:pStyle w:val="NormalWeb"/>
        <w:numPr>
          <w:ilvl w:val="0"/>
          <w:numId w:val="7"/>
        </w:numPr>
        <w:shd w:val="clear" w:color="auto" w:fill="FFFFFF"/>
        <w:spacing w:before="0" w:beforeAutospacing="0" w:after="0" w:afterAutospacing="0"/>
      </w:pPr>
      <w:r>
        <w:t>Issuing biennial reports that assess progress and provide accountability, and</w:t>
      </w:r>
    </w:p>
    <w:p w14:paraId="33D368B1" w14:textId="77777777" w:rsidR="00A50950" w:rsidRDefault="00A50950" w:rsidP="007977A2">
      <w:pPr>
        <w:pStyle w:val="NormalWeb"/>
        <w:numPr>
          <w:ilvl w:val="0"/>
          <w:numId w:val="7"/>
        </w:numPr>
        <w:shd w:val="clear" w:color="auto" w:fill="FFFFFF"/>
        <w:spacing w:before="0" w:beforeAutospacing="0" w:after="0" w:afterAutospacing="0"/>
      </w:pPr>
      <w:r>
        <w:t>EPA continuing to provide support and financial assistance.</w:t>
      </w:r>
    </w:p>
    <w:p w14:paraId="506417F4" w14:textId="77777777" w:rsidR="007E7EC9" w:rsidRPr="00F92C43" w:rsidRDefault="007E7EC9" w:rsidP="00A50950">
      <w:pPr>
        <w:pStyle w:val="NormalWeb"/>
        <w:shd w:val="clear" w:color="auto" w:fill="FFFFFF"/>
        <w:spacing w:before="0" w:beforeAutospacing="0" w:after="0" w:afterAutospacing="0"/>
        <w:ind w:left="720"/>
      </w:pPr>
      <w:r w:rsidRPr="00F92C43">
        <w:t xml:space="preserve"> </w:t>
      </w:r>
    </w:p>
    <w:p w14:paraId="2AF7DAB0" w14:textId="77777777" w:rsidR="007E7EC9" w:rsidRDefault="00DE40F7" w:rsidP="009F2CC2">
      <w:pPr>
        <w:autoSpaceDE w:val="0"/>
        <w:autoSpaceDN w:val="0"/>
        <w:adjustRightInd w:val="0"/>
        <w:ind w:left="720"/>
      </w:pPr>
      <w:r w:rsidRPr="009F5F64">
        <w:rPr>
          <w:b/>
        </w:rPr>
        <w:t xml:space="preserve">Work-to-Date:  </w:t>
      </w:r>
      <w:r w:rsidR="007E7EC9" w:rsidRPr="00F92C43">
        <w:t xml:space="preserve">The Committee and WSWC staff have followed and updated the WSWC on EPA efforts involving nutrients.  Various Committee meetings have also featured presentations from EPA </w:t>
      </w:r>
      <w:r w:rsidR="00585F7E">
        <w:t xml:space="preserve">and state </w:t>
      </w:r>
      <w:r w:rsidR="007E7EC9" w:rsidRPr="00F92C43">
        <w:t>officials on</w:t>
      </w:r>
      <w:r w:rsidR="00486E9B">
        <w:t xml:space="preserve"> federal and state</w:t>
      </w:r>
      <w:r w:rsidR="007E7EC9" w:rsidRPr="00F92C43">
        <w:t xml:space="preserve"> </w:t>
      </w:r>
      <w:r w:rsidR="00585F7E">
        <w:t>nutrient</w:t>
      </w:r>
      <w:r w:rsidR="007E7EC9" w:rsidRPr="00F92C43">
        <w:t xml:space="preserve"> </w:t>
      </w:r>
      <w:r w:rsidR="007E6456">
        <w:t xml:space="preserve">management </w:t>
      </w:r>
      <w:r w:rsidR="007E7EC9" w:rsidRPr="00F92C43">
        <w:t xml:space="preserve">efforts.  </w:t>
      </w:r>
    </w:p>
    <w:p w14:paraId="6D09D862" w14:textId="49CB3619" w:rsidR="007E7EC9" w:rsidRPr="00F92C43" w:rsidRDefault="007E7EC9" w:rsidP="00E53712">
      <w:pPr>
        <w:widowControl w:val="0"/>
        <w:kinsoku w:val="0"/>
      </w:pPr>
    </w:p>
    <w:p w14:paraId="2DBF260B" w14:textId="47FF9C2C" w:rsidR="007E7EC9" w:rsidRDefault="009500B4" w:rsidP="009F2CC2">
      <w:pPr>
        <w:widowControl w:val="0"/>
        <w:kinsoku w:val="0"/>
        <w:ind w:left="720"/>
      </w:pPr>
      <w:r w:rsidRPr="00F92C43">
        <w:rPr>
          <w:b/>
        </w:rPr>
        <w:t>201</w:t>
      </w:r>
      <w:r w:rsidR="008367B6">
        <w:rPr>
          <w:b/>
        </w:rPr>
        <w:t>7</w:t>
      </w:r>
      <w:r w:rsidR="007E7EC9" w:rsidRPr="00F92C43">
        <w:rPr>
          <w:b/>
        </w:rPr>
        <w:t>-</w:t>
      </w:r>
      <w:r w:rsidR="00AB563F" w:rsidRPr="00F92C43">
        <w:rPr>
          <w:b/>
        </w:rPr>
        <w:t>201</w:t>
      </w:r>
      <w:r w:rsidR="008367B6">
        <w:rPr>
          <w:b/>
        </w:rPr>
        <w:t>8</w:t>
      </w:r>
      <w:r w:rsidR="007E7EC9" w:rsidRPr="00F92C43">
        <w:rPr>
          <w:b/>
        </w:rPr>
        <w:t xml:space="preserve">:  </w:t>
      </w:r>
    </w:p>
    <w:p w14:paraId="19234E96" w14:textId="36105CC6" w:rsidR="00A50950" w:rsidRDefault="00A50950" w:rsidP="00A50950">
      <w:pPr>
        <w:widowControl w:val="0"/>
        <w:kinsoku w:val="0"/>
        <w:ind w:left="720"/>
      </w:pPr>
      <w:r>
        <w:t>The Committee and WSWC staff will monitor any changes to EPA’s nutrient efforts under the current administration</w:t>
      </w:r>
      <w:r w:rsidR="00900F2A" w:rsidRPr="00900F2A">
        <w:t xml:space="preserve">, including those related to Harmful Algae Blooms (HABs)/ EPA cyanotoxin criteria </w:t>
      </w:r>
      <w:r>
        <w:t xml:space="preserve">and inform members of ongoing developments.  Each state is encouraged to develop its own strategy to control nutrient pollution.  The Committee will ask states with a strategy to share highlights from their </w:t>
      </w:r>
      <w:r w:rsidR="00900F2A" w:rsidRPr="00900F2A">
        <w:t>nutrient and HABs</w:t>
      </w:r>
      <w:r w:rsidR="00900F2A">
        <w:t xml:space="preserve"> </w:t>
      </w:r>
      <w:r>
        <w:t>strateg</w:t>
      </w:r>
      <w:r w:rsidR="00900F2A" w:rsidRPr="00900F2A">
        <w:t>ies and efforts</w:t>
      </w:r>
      <w:r w:rsidRPr="00900F2A">
        <w:t xml:space="preserve"> </w:t>
      </w:r>
      <w:r>
        <w:t xml:space="preserve">that they think could benefit other Council members with the Committee.  </w:t>
      </w:r>
    </w:p>
    <w:p w14:paraId="7A8A9B1E" w14:textId="77777777" w:rsidR="00A50950" w:rsidRDefault="00A50950" w:rsidP="00A50950">
      <w:pPr>
        <w:widowControl w:val="0"/>
        <w:kinsoku w:val="0"/>
        <w:ind w:left="720"/>
      </w:pPr>
      <w:r>
        <w:t xml:space="preserve"> </w:t>
      </w:r>
    </w:p>
    <w:p w14:paraId="326DCACE" w14:textId="521D0ADE" w:rsidR="00A50950" w:rsidRPr="00F92C43" w:rsidRDefault="00A50950" w:rsidP="00A50950">
      <w:pPr>
        <w:widowControl w:val="0"/>
        <w:kinsoku w:val="0"/>
        <w:ind w:left="720"/>
      </w:pPr>
      <w:r>
        <w:t xml:space="preserve">The Association of Clean Water Administrators has a Nutrient Working Group developing a Nutrients Reduction Progress Tracker.  The Committee’s efforts will </w:t>
      </w:r>
      <w:r w:rsidR="00900F2A">
        <w:t xml:space="preserve">complement </w:t>
      </w:r>
      <w:r>
        <w:t>those of the ACWA Working Group, but may include information from ACWA’s efforts of interest to Committee members.</w:t>
      </w:r>
    </w:p>
    <w:p w14:paraId="390A12E2" w14:textId="77777777" w:rsidR="007E7EC9" w:rsidRPr="00F92C43" w:rsidRDefault="007E7EC9" w:rsidP="007E7EC9">
      <w:pPr>
        <w:autoSpaceDE w:val="0"/>
        <w:autoSpaceDN w:val="0"/>
        <w:adjustRightInd w:val="0"/>
      </w:pPr>
    </w:p>
    <w:p w14:paraId="52833DF8" w14:textId="77777777" w:rsidR="007E7EC9" w:rsidRDefault="007E7EC9" w:rsidP="009F2CC2">
      <w:pPr>
        <w:autoSpaceDE w:val="0"/>
        <w:autoSpaceDN w:val="0"/>
        <w:adjustRightInd w:val="0"/>
        <w:ind w:left="720"/>
      </w:pPr>
      <w:r w:rsidRPr="00F92C43">
        <w:rPr>
          <w:b/>
        </w:rPr>
        <w:t xml:space="preserve">Time Frame:  </w:t>
      </w:r>
      <w:r w:rsidRPr="00F92C43">
        <w:t xml:space="preserve">Ongoing </w:t>
      </w:r>
    </w:p>
    <w:p w14:paraId="0FED3315" w14:textId="77777777" w:rsidR="00CB7C73" w:rsidRDefault="00CB7C73" w:rsidP="009F2CC2">
      <w:pPr>
        <w:autoSpaceDE w:val="0"/>
        <w:autoSpaceDN w:val="0"/>
        <w:adjustRightInd w:val="0"/>
        <w:ind w:left="720"/>
      </w:pPr>
    </w:p>
    <w:p w14:paraId="5D4FA68E" w14:textId="77777777" w:rsidR="00E53712" w:rsidRDefault="00CB7C73">
      <w:pPr>
        <w:autoSpaceDE w:val="0"/>
        <w:autoSpaceDN w:val="0"/>
        <w:adjustRightInd w:val="0"/>
        <w:ind w:left="720"/>
        <w:rPr>
          <w:b/>
          <w:u w:val="single"/>
        </w:rPr>
      </w:pPr>
      <w:r>
        <w:rPr>
          <w:b/>
        </w:rPr>
        <w:t>e.</w:t>
      </w:r>
      <w:r>
        <w:rPr>
          <w:b/>
        </w:rPr>
        <w:tab/>
      </w:r>
      <w:r w:rsidR="00186C75" w:rsidRPr="00E53712">
        <w:rPr>
          <w:b/>
          <w:u w:val="single"/>
        </w:rPr>
        <w:t xml:space="preserve">Tribal </w:t>
      </w:r>
      <w:r w:rsidRPr="00E53712">
        <w:rPr>
          <w:b/>
          <w:u w:val="single"/>
        </w:rPr>
        <w:t>Treatment as States</w:t>
      </w:r>
      <w:r>
        <w:rPr>
          <w:b/>
          <w:u w:val="single"/>
        </w:rPr>
        <w:t xml:space="preserve"> </w:t>
      </w:r>
    </w:p>
    <w:p w14:paraId="6714634E" w14:textId="77777777" w:rsidR="00E53712" w:rsidRDefault="00E53712">
      <w:pPr>
        <w:autoSpaceDE w:val="0"/>
        <w:autoSpaceDN w:val="0"/>
        <w:adjustRightInd w:val="0"/>
        <w:ind w:left="720"/>
        <w:rPr>
          <w:b/>
        </w:rPr>
      </w:pPr>
    </w:p>
    <w:p w14:paraId="266E2481" w14:textId="7014BFF1" w:rsidR="00186C75" w:rsidRDefault="00186C75">
      <w:pPr>
        <w:autoSpaceDE w:val="0"/>
        <w:autoSpaceDN w:val="0"/>
        <w:adjustRightInd w:val="0"/>
        <w:ind w:left="720"/>
      </w:pPr>
      <w:r>
        <w:rPr>
          <w:b/>
        </w:rPr>
        <w:t>Background:</w:t>
      </w:r>
      <w:r>
        <w:t xml:space="preserve"> In 2016, EPA </w:t>
      </w:r>
      <w:r w:rsidR="00744790">
        <w:t>finalized</w:t>
      </w:r>
      <w:r>
        <w:t xml:space="preserve"> two separate but related rulemaking efforts regarding the tribes’ ability to obtain “treatment as states” (TAS) status under CWA §518, necessary for delegation of regulatory programs to the tribes. The first involved an interpretive rule regarding inherent authority of tribes, considering CWA §518 an express delegation of authority from Congress. The second rule sets forth a regulatory process for TAS status to operate impaired listing and total maximum daily load (TMDL) programs. </w:t>
      </w:r>
      <w:r>
        <w:lastRenderedPageBreak/>
        <w:t>WSWC and various states sent letters commenting on concerns with how the prog</w:t>
      </w:r>
      <w:r w:rsidR="00744790">
        <w:t>rams would implemented.</w:t>
      </w:r>
    </w:p>
    <w:p w14:paraId="1BC5E238" w14:textId="23C03DAB" w:rsidR="00744790" w:rsidRDefault="00744790">
      <w:pPr>
        <w:autoSpaceDE w:val="0"/>
        <w:autoSpaceDN w:val="0"/>
        <w:adjustRightInd w:val="0"/>
        <w:ind w:left="720"/>
      </w:pPr>
    </w:p>
    <w:p w14:paraId="210AA1D7" w14:textId="512C31AD" w:rsidR="00744790" w:rsidRDefault="00744790">
      <w:pPr>
        <w:autoSpaceDE w:val="0"/>
        <w:autoSpaceDN w:val="0"/>
        <w:adjustRightInd w:val="0"/>
        <w:ind w:left="720"/>
      </w:pPr>
      <w:r>
        <w:t xml:space="preserve">EPA also engaged in a pre-rulemaking outreach to states, tribes, and other stakeholders, soliciting input on setting federal baseline water quality standards for tribes without TAS status. WSWC submitted comments in December 2016, and the proposed rulemaking </w:t>
      </w:r>
      <w:proofErr w:type="gramStart"/>
      <w:r>
        <w:t>continues on</w:t>
      </w:r>
      <w:proofErr w:type="gramEnd"/>
      <w:r>
        <w:t xml:space="preserve"> EPA’s regulatory agenda in 2017.</w:t>
      </w:r>
    </w:p>
    <w:p w14:paraId="7B37F8E4" w14:textId="10B257AD" w:rsidR="00CB7C73" w:rsidRDefault="00CB7C73" w:rsidP="00E53712">
      <w:pPr>
        <w:autoSpaceDE w:val="0"/>
        <w:autoSpaceDN w:val="0"/>
        <w:adjustRightInd w:val="0"/>
      </w:pPr>
    </w:p>
    <w:p w14:paraId="2D54322C" w14:textId="2771D66C" w:rsidR="005B3517" w:rsidRDefault="008367B6" w:rsidP="009F2CC2">
      <w:pPr>
        <w:autoSpaceDE w:val="0"/>
        <w:autoSpaceDN w:val="0"/>
        <w:adjustRightInd w:val="0"/>
        <w:ind w:left="720"/>
      </w:pPr>
      <w:r>
        <w:rPr>
          <w:b/>
        </w:rPr>
        <w:t>2017-2018</w:t>
      </w:r>
      <w:r w:rsidR="005B3517">
        <w:rPr>
          <w:b/>
        </w:rPr>
        <w:t xml:space="preserve">: </w:t>
      </w:r>
      <w:r w:rsidR="005B3517">
        <w:t>The Committee will continue to monitor these rulemakings</w:t>
      </w:r>
      <w:r w:rsidR="00744790">
        <w:t xml:space="preserve"> and their implementation</w:t>
      </w:r>
      <w:r w:rsidR="005B3517">
        <w:t xml:space="preserve"> and engage with EPA as appropriate. </w:t>
      </w:r>
    </w:p>
    <w:p w14:paraId="121598D4" w14:textId="77777777" w:rsidR="007530EA" w:rsidRDefault="007530EA" w:rsidP="009F2CC2">
      <w:pPr>
        <w:autoSpaceDE w:val="0"/>
        <w:autoSpaceDN w:val="0"/>
        <w:adjustRightInd w:val="0"/>
        <w:ind w:left="720"/>
      </w:pPr>
    </w:p>
    <w:p w14:paraId="6194C47F" w14:textId="3D4B089A" w:rsidR="00421150" w:rsidRDefault="005B3517" w:rsidP="00770E30">
      <w:pPr>
        <w:autoSpaceDE w:val="0"/>
        <w:autoSpaceDN w:val="0"/>
        <w:adjustRightInd w:val="0"/>
        <w:ind w:left="720"/>
      </w:pPr>
      <w:r>
        <w:rPr>
          <w:b/>
        </w:rPr>
        <w:t xml:space="preserve">Time Frame:  </w:t>
      </w:r>
      <w:r>
        <w:t>Ongoing</w:t>
      </w:r>
    </w:p>
    <w:p w14:paraId="234320EB" w14:textId="77777777" w:rsidR="00421150" w:rsidRDefault="00421150" w:rsidP="007E7EC9">
      <w:pPr>
        <w:autoSpaceDE w:val="0"/>
        <w:autoSpaceDN w:val="0"/>
        <w:adjustRightInd w:val="0"/>
      </w:pPr>
    </w:p>
    <w:p w14:paraId="6152969C" w14:textId="77777777" w:rsidR="009F2CC2" w:rsidRPr="009F2CC2" w:rsidRDefault="009F2CC2" w:rsidP="007E7EC9">
      <w:pPr>
        <w:rPr>
          <w:b/>
        </w:rPr>
      </w:pPr>
      <w:r>
        <w:tab/>
      </w:r>
      <w:r w:rsidR="00770E30">
        <w:rPr>
          <w:b/>
        </w:rPr>
        <w:t>f</w:t>
      </w:r>
      <w:r>
        <w:rPr>
          <w:b/>
        </w:rPr>
        <w:t>.</w:t>
      </w:r>
      <w:r>
        <w:rPr>
          <w:b/>
        </w:rPr>
        <w:tab/>
      </w:r>
      <w:r w:rsidRPr="000F069B">
        <w:rPr>
          <w:b/>
          <w:u w:val="single"/>
        </w:rPr>
        <w:t>Abandoned Hardrock Mine Remediation</w:t>
      </w:r>
      <w:r>
        <w:rPr>
          <w:b/>
        </w:rPr>
        <w:t xml:space="preserve">  </w:t>
      </w:r>
    </w:p>
    <w:p w14:paraId="3868C433" w14:textId="77777777" w:rsidR="007E7EC9" w:rsidRPr="00F92C43" w:rsidRDefault="007E7EC9" w:rsidP="00FD1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3BB717" w14:textId="77777777" w:rsidR="007E7EC9" w:rsidRDefault="00FD16F1" w:rsidP="009F2CC2">
      <w:pPr>
        <w:tabs>
          <w:tab w:val="left" w:pos="720"/>
        </w:tabs>
        <w:ind w:left="720"/>
      </w:pPr>
      <w:r>
        <w:rPr>
          <w:b/>
        </w:rPr>
        <w:t xml:space="preserve">Background: </w:t>
      </w:r>
      <w:proofErr w:type="gramStart"/>
      <w:r w:rsidR="007E7EC9" w:rsidRPr="00F92C43">
        <w:t>A number of</w:t>
      </w:r>
      <w:proofErr w:type="gramEnd"/>
      <w:r w:rsidR="007E7EC9" w:rsidRPr="00F92C43">
        <w:t xml:space="preserve"> Good Samaritan bills have been introduced in Congress over the years</w:t>
      </w:r>
      <w:r w:rsidR="007E7EC9">
        <w:t xml:space="preserve">, including legislation introduced by Senator Mark Udall </w:t>
      </w:r>
      <w:r w:rsidR="00585F7E">
        <w:t>(D-CO)</w:t>
      </w:r>
      <w:r w:rsidR="007E7EC9">
        <w:t xml:space="preserve">. </w:t>
      </w:r>
      <w:r w:rsidR="00585F7E">
        <w:t xml:space="preserve"> </w:t>
      </w:r>
      <w:r w:rsidR="007E7EC9">
        <w:t>These bills</w:t>
      </w:r>
      <w:r w:rsidR="007E7EC9" w:rsidRPr="00F92C43">
        <w:t xml:space="preserve"> have been unsuccessful due to concerns about the potential impacts of amending the CWA and perceptions that sufficient protections already exist under the Comprehensive Environmental Response, Compensation and Liability Act (CERCLA).  However, considerable uncertainty exists as to whether CERCLA and other existing authorities provide Good Samaritans with sufficient protection from third party lawsuits for sites in which there is a continuing discharge of pollutants as defined by the CWA.  </w:t>
      </w:r>
    </w:p>
    <w:p w14:paraId="5BEBA9AC" w14:textId="77777777" w:rsidR="00FD16F1" w:rsidRDefault="00FD16F1" w:rsidP="009F2CC2">
      <w:pPr>
        <w:tabs>
          <w:tab w:val="left" w:pos="720"/>
        </w:tabs>
        <w:ind w:left="720"/>
      </w:pPr>
    </w:p>
    <w:p w14:paraId="7AD90DC9" w14:textId="77777777" w:rsidR="00FD16F1" w:rsidRPr="00FD16F1" w:rsidRDefault="00FD16F1" w:rsidP="00FD16F1">
      <w:pPr>
        <w:ind w:left="720"/>
        <w:rPr>
          <w:rFonts w:ascii="Arial" w:hAnsi="Arial" w:cs="Arial"/>
        </w:rPr>
      </w:pPr>
      <w:r>
        <w:t xml:space="preserve">In December 2012, the Environmental Protection Agency (EPA) issued a memorandum to clarify administrative protections for Good Samaritans.  </w:t>
      </w:r>
      <w:r w:rsidRPr="00AB563F">
        <w:t>EPA’s regulations require operators of sites that continue to discharge pollution after cleanup to obtain NPDES permits under the CWA.</w:t>
      </w:r>
      <w:r>
        <w:t xml:space="preserve"> </w:t>
      </w:r>
      <w:r w:rsidRPr="00AB563F">
        <w:t xml:space="preserve"> The memorandum clarifies that Good Samaritans who complete cleanup efforts pursuant to EPA policies will not be considered “operators” responsible for obtaining NPDES permits if they lack: (1) access and authority to enter the site; (2) an ongoing contractual agreement or relationship with the site owner to control discharges; (3) power or responsibility to make timely discovery of changes to the discharges; (4) power or responsibility to direct persons who control the mechanisms, if any, causing the discharges; and (5) power or responsibility to prevent and abate the environmental damage caused by the discharges.  Nevertheless, the memorandum states that it “...does not address or resolve all potential liability associated with discharges from abandoned mines.”</w:t>
      </w:r>
    </w:p>
    <w:p w14:paraId="73F2E435" w14:textId="77777777" w:rsidR="007E7EC9" w:rsidRDefault="007E7EC9" w:rsidP="009F2CC2">
      <w:pPr>
        <w:tabs>
          <w:tab w:val="left" w:pos="720"/>
        </w:tabs>
        <w:ind w:left="720"/>
      </w:pPr>
    </w:p>
    <w:p w14:paraId="4829BFC3" w14:textId="2C1B4F74" w:rsidR="00FD16F1" w:rsidRPr="00F92C43" w:rsidRDefault="00FD16F1" w:rsidP="00FD1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92C43">
        <w:rPr>
          <w:b/>
        </w:rPr>
        <w:t xml:space="preserve">Work-to-Date:  </w:t>
      </w:r>
      <w:r>
        <w:t xml:space="preserve">The WGA and WSWC have long supported </w:t>
      </w:r>
      <w:r w:rsidRPr="00F92C43">
        <w:t xml:space="preserve">legislation to amend the </w:t>
      </w:r>
      <w:r>
        <w:t>Clean Water Act (CWA)</w:t>
      </w:r>
      <w:r w:rsidRPr="00F92C43">
        <w:t xml:space="preserve"> to protect </w:t>
      </w:r>
      <w:r>
        <w:t xml:space="preserve">authorized third parties, or “Good Samaritans,” who voluntarily clean up abandoned </w:t>
      </w:r>
      <w:proofErr w:type="spellStart"/>
      <w:r>
        <w:t>hardrock</w:t>
      </w:r>
      <w:proofErr w:type="spellEnd"/>
      <w:r>
        <w:t xml:space="preserve"> mines, from inheriting perpetual liability for the site under the CWA</w:t>
      </w:r>
      <w:r w:rsidRPr="000E265D">
        <w:t xml:space="preserve"> </w:t>
      </w:r>
      <w:r>
        <w:t>(</w:t>
      </w:r>
      <w:r w:rsidRPr="00061474">
        <w:t>WGA Policy Resolution #</w:t>
      </w:r>
      <w:r w:rsidR="00AA3ACC">
        <w:t>20</w:t>
      </w:r>
      <w:r>
        <w:t>1</w:t>
      </w:r>
      <w:r w:rsidR="00AA3ACC">
        <w:t>6</w:t>
      </w:r>
      <w:r>
        <w:t>-0</w:t>
      </w:r>
      <w:r w:rsidR="00AA3ACC">
        <w:t>7</w:t>
      </w:r>
      <w:r w:rsidRPr="00061474">
        <w:t>).</w:t>
      </w:r>
    </w:p>
    <w:p w14:paraId="04AE7515" w14:textId="77777777" w:rsidR="00FD16F1" w:rsidRDefault="00FD16F1" w:rsidP="009F2CC2">
      <w:pPr>
        <w:tabs>
          <w:tab w:val="left" w:pos="720"/>
        </w:tabs>
        <w:ind w:left="720"/>
      </w:pPr>
    </w:p>
    <w:p w14:paraId="33CE66EB" w14:textId="77777777" w:rsidR="00AB563F" w:rsidRDefault="007E7EC9" w:rsidP="00FD16F1">
      <w:pPr>
        <w:tabs>
          <w:tab w:val="left" w:pos="720"/>
        </w:tabs>
        <w:ind w:left="720"/>
      </w:pPr>
      <w:r>
        <w:t>Over the past several years, t</w:t>
      </w:r>
      <w:r w:rsidRPr="00F92C43">
        <w:t xml:space="preserve">he Committee has </w:t>
      </w:r>
      <w:r>
        <w:t>worked</w:t>
      </w:r>
      <w:r w:rsidRPr="00F92C43">
        <w:t xml:space="preserve"> to </w:t>
      </w:r>
      <w:r>
        <w:t xml:space="preserve">support Good Samaritan legislation and other efforts to clean up abandoned </w:t>
      </w:r>
      <w:proofErr w:type="spellStart"/>
      <w:r>
        <w:t>hardrock</w:t>
      </w:r>
      <w:proofErr w:type="spellEnd"/>
      <w:r>
        <w:t xml:space="preserve"> mines, including multiple visits with Congress and the Administration, Congressional testimony in support of such legislation, and involvement in a WGA-organized Task Force focused on crafting an exemption for Good Samaritan activities by state governments.  </w:t>
      </w:r>
    </w:p>
    <w:p w14:paraId="104F195E" w14:textId="77777777" w:rsidR="007E7EC9" w:rsidRPr="00F92C43" w:rsidRDefault="007E7EC9" w:rsidP="009F2CC2">
      <w:pPr>
        <w:tabs>
          <w:tab w:val="left" w:pos="720"/>
        </w:tabs>
        <w:ind w:left="720"/>
      </w:pPr>
      <w:r>
        <w:lastRenderedPageBreak/>
        <w:t xml:space="preserve">  </w:t>
      </w:r>
    </w:p>
    <w:p w14:paraId="458CF660" w14:textId="77777777" w:rsidR="007E7EC9" w:rsidRPr="00F92C43" w:rsidRDefault="008367B6" w:rsidP="009F2CC2">
      <w:pPr>
        <w:tabs>
          <w:tab w:val="left" w:pos="720"/>
        </w:tabs>
        <w:ind w:left="720"/>
      </w:pPr>
      <w:r>
        <w:rPr>
          <w:b/>
        </w:rPr>
        <w:t>2017</w:t>
      </w:r>
      <w:r w:rsidR="007E7EC9" w:rsidRPr="00F92C43">
        <w:rPr>
          <w:b/>
        </w:rPr>
        <w:t>-</w:t>
      </w:r>
      <w:r w:rsidR="00AB563F" w:rsidRPr="00F92C43">
        <w:rPr>
          <w:b/>
        </w:rPr>
        <w:t>201</w:t>
      </w:r>
      <w:r>
        <w:rPr>
          <w:b/>
        </w:rPr>
        <w:t>8</w:t>
      </w:r>
      <w:r w:rsidR="007E7EC9" w:rsidRPr="00F92C43">
        <w:rPr>
          <w:b/>
        </w:rPr>
        <w:t>:</w:t>
      </w:r>
      <w:r w:rsidR="007E7EC9" w:rsidRPr="00F92C43">
        <w:t xml:space="preserve">  The Committee will </w:t>
      </w:r>
      <w:r w:rsidR="007E7EC9">
        <w:t>coordinate with</w:t>
      </w:r>
      <w:r w:rsidR="007E7EC9" w:rsidRPr="00F92C43">
        <w:t xml:space="preserve"> the WGA </w:t>
      </w:r>
      <w:r w:rsidR="007E6456">
        <w:t>and</w:t>
      </w:r>
      <w:r w:rsidR="007E7EC9" w:rsidRPr="00F92C43">
        <w:t xml:space="preserve"> </w:t>
      </w:r>
      <w:r w:rsidR="007E7EC9">
        <w:t>encourage</w:t>
      </w:r>
      <w:r w:rsidR="007E7EC9" w:rsidRPr="00F92C43">
        <w:t xml:space="preserve"> </w:t>
      </w:r>
      <w:r w:rsidR="007E7EC9">
        <w:t xml:space="preserve">efforts to clean up abandoned </w:t>
      </w:r>
      <w:proofErr w:type="spellStart"/>
      <w:r w:rsidR="007E7EC9">
        <w:t>hardrock</w:t>
      </w:r>
      <w:proofErr w:type="spellEnd"/>
      <w:r w:rsidR="007E7EC9">
        <w:t xml:space="preserve"> mines, including but not limited to </w:t>
      </w:r>
      <w:r w:rsidR="007E7EC9" w:rsidRPr="00F92C43">
        <w:t>enactment of Good Sam</w:t>
      </w:r>
      <w:r w:rsidR="007E7EC9">
        <w:t>aritan</w:t>
      </w:r>
      <w:r w:rsidR="007E7EC9" w:rsidRPr="00F92C43">
        <w:t xml:space="preserve"> legislation</w:t>
      </w:r>
      <w:r w:rsidR="00452F6A">
        <w:t xml:space="preserve"> and efforts to support utilization of EPA’s 2012 memorandum</w:t>
      </w:r>
      <w:r w:rsidR="007E7EC9" w:rsidRPr="00F92C43">
        <w:t>.  As part of this effort, the Committee will work with key Congressional members/staff</w:t>
      </w:r>
      <w:r w:rsidR="007E7EC9">
        <w:t>,</w:t>
      </w:r>
      <w:r w:rsidR="007E7EC9" w:rsidRPr="00F92C43">
        <w:t xml:space="preserve"> Administration officials</w:t>
      </w:r>
      <w:r w:rsidR="007E7EC9">
        <w:t xml:space="preserve">, and other stakeholders to develop and support efforts to clean up abandoned </w:t>
      </w:r>
      <w:proofErr w:type="spellStart"/>
      <w:r w:rsidR="007E7EC9">
        <w:t>hardrock</w:t>
      </w:r>
      <w:proofErr w:type="spellEnd"/>
      <w:r w:rsidR="007E7EC9">
        <w:t xml:space="preserve"> mines in accordance with the WGA’s policies</w:t>
      </w:r>
      <w:r w:rsidR="006C1C96">
        <w:t xml:space="preserve">, including the possible development of a workgroup </w:t>
      </w:r>
      <w:r w:rsidR="002C36AF">
        <w:t xml:space="preserve">and/or workshop to bring together </w:t>
      </w:r>
      <w:r w:rsidR="006C1C96">
        <w:t xml:space="preserve">interested stakeholders to identify ways to facilitate abandoned </w:t>
      </w:r>
      <w:proofErr w:type="spellStart"/>
      <w:r w:rsidR="006C1C96">
        <w:t>hardrock</w:t>
      </w:r>
      <w:proofErr w:type="spellEnd"/>
      <w:r w:rsidR="006C1C96">
        <w:t xml:space="preserve"> mine remediation. </w:t>
      </w:r>
      <w:r w:rsidR="007E7EC9">
        <w:t xml:space="preserve"> </w:t>
      </w:r>
      <w:r w:rsidR="007E7EC9" w:rsidRPr="00F92C43">
        <w:t xml:space="preserve"> </w:t>
      </w:r>
    </w:p>
    <w:p w14:paraId="4BD4A8CD" w14:textId="77777777" w:rsidR="007E7EC9" w:rsidRPr="00F92C43" w:rsidRDefault="007E7EC9" w:rsidP="009F2CC2">
      <w:pPr>
        <w:tabs>
          <w:tab w:val="left" w:pos="720"/>
        </w:tabs>
        <w:ind w:left="720"/>
      </w:pPr>
    </w:p>
    <w:p w14:paraId="385C97D7" w14:textId="77777777" w:rsidR="007E7EC9" w:rsidRPr="00F92C43" w:rsidRDefault="007E7EC9" w:rsidP="009F2CC2">
      <w:pPr>
        <w:tabs>
          <w:tab w:val="left" w:pos="720"/>
        </w:tabs>
        <w:ind w:left="720"/>
      </w:pPr>
      <w:r w:rsidRPr="00F92C43">
        <w:t xml:space="preserve">In addition to the above actions, the Committee will: (1) work with the Administration and Congress to provide liability protections to Good Samaritans under existing authorities; </w:t>
      </w:r>
      <w:r>
        <w:t xml:space="preserve">and </w:t>
      </w:r>
      <w:r w:rsidR="00EA51DC">
        <w:t>(2</w:t>
      </w:r>
      <w:r w:rsidRPr="00F92C43">
        <w:t>) evaluate the prospects for Good Samaritan legislation</w:t>
      </w:r>
      <w:r>
        <w:t>.</w:t>
      </w:r>
      <w:r w:rsidRPr="00F92C43">
        <w:t xml:space="preserve"> </w:t>
      </w:r>
    </w:p>
    <w:p w14:paraId="5339E500" w14:textId="77777777" w:rsidR="007E7EC9" w:rsidRPr="00F92C43" w:rsidRDefault="007E7EC9" w:rsidP="009F2CC2">
      <w:pPr>
        <w:tabs>
          <w:tab w:val="left" w:pos="720"/>
        </w:tabs>
        <w:ind w:left="720"/>
      </w:pPr>
      <w:r w:rsidRPr="00F92C43">
        <w:t xml:space="preserve"> </w:t>
      </w:r>
    </w:p>
    <w:p w14:paraId="6F131F4B" w14:textId="77777777" w:rsidR="007B2BB9" w:rsidRDefault="007E7EC9" w:rsidP="000D2BD3">
      <w:pPr>
        <w:tabs>
          <w:tab w:val="left" w:pos="720"/>
        </w:tabs>
        <w:ind w:left="720"/>
      </w:pPr>
      <w:r w:rsidRPr="00F92C43">
        <w:rPr>
          <w:b/>
        </w:rPr>
        <w:t>Time Frame:</w:t>
      </w:r>
      <w:r w:rsidRPr="00F92C43">
        <w:t xml:space="preserve"> Ongoing</w:t>
      </w:r>
    </w:p>
    <w:p w14:paraId="4BA46879" w14:textId="77777777" w:rsidR="00982933" w:rsidRDefault="00982933" w:rsidP="000D2BD3">
      <w:pPr>
        <w:tabs>
          <w:tab w:val="left" w:pos="720"/>
        </w:tabs>
        <w:ind w:left="720"/>
      </w:pPr>
    </w:p>
    <w:p w14:paraId="7D48B6E8" w14:textId="77777777" w:rsidR="00982933" w:rsidRPr="009B479A" w:rsidRDefault="00982933" w:rsidP="00982933">
      <w:pPr>
        <w:autoSpaceDE w:val="0"/>
        <w:autoSpaceDN w:val="0"/>
        <w:adjustRightInd w:val="0"/>
        <w:rPr>
          <w:b/>
          <w:u w:val="single"/>
        </w:rPr>
      </w:pPr>
      <w:r w:rsidRPr="00982933">
        <w:rPr>
          <w:b/>
        </w:rPr>
        <w:t>3.</w:t>
      </w:r>
      <w:r>
        <w:tab/>
      </w:r>
      <w:r w:rsidRPr="009B479A">
        <w:rPr>
          <w:b/>
          <w:u w:val="single"/>
        </w:rPr>
        <w:t>HYDRAULIC FRACTURING</w:t>
      </w:r>
    </w:p>
    <w:p w14:paraId="699DD106" w14:textId="77777777" w:rsidR="00982933" w:rsidRDefault="00982933" w:rsidP="00982933">
      <w:pPr>
        <w:autoSpaceDE w:val="0"/>
        <w:autoSpaceDN w:val="0"/>
        <w:adjustRightInd w:val="0"/>
        <w:rPr>
          <w:b/>
        </w:rPr>
      </w:pPr>
    </w:p>
    <w:p w14:paraId="6668BF00" w14:textId="77777777" w:rsidR="00982933" w:rsidRDefault="00982933" w:rsidP="00982933">
      <w:pPr>
        <w:autoSpaceDE w:val="0"/>
        <w:autoSpaceDN w:val="0"/>
        <w:adjustRightInd w:val="0"/>
        <w:rPr>
          <w:b/>
        </w:rPr>
      </w:pPr>
      <w:r>
        <w:rPr>
          <w:b/>
        </w:rPr>
        <w:t xml:space="preserve">Background: </w:t>
      </w:r>
      <w:r>
        <w:t xml:space="preserve">In June 2015, the Environmental Protection Agency (EPA) published a study on the relationship between hydraulic fracturing and drinking water, titled “Assessment of the Potential Impacts of Hydraulic Fracturing for Oil and Gas on Drinking Water Resources.”  In March 2015, the Bureau of Land Management (BLM) issued a final rule for hydraulic fracturing on public lands, which includes a variance process that would allow states to propose their own standards if they can prove that their regulations meet or exceed the requirements in BLM’s rule.  In addition, EPA, the Department of Energy (DOE), and the Department of the Interior (DOI) agreed in April 2012 to develop a “Multi-Agency Unconventional Oil and Gas Research Program” to support policy decision by relevant state and federal agencies.  The effort is intended to help support the White House’s March 2011 “Blueprint for a Secure Energy Future.”    </w:t>
      </w:r>
    </w:p>
    <w:p w14:paraId="5B744B73" w14:textId="77777777" w:rsidR="00982933" w:rsidRDefault="00982933" w:rsidP="00982933">
      <w:pPr>
        <w:autoSpaceDE w:val="0"/>
        <w:autoSpaceDN w:val="0"/>
        <w:adjustRightInd w:val="0"/>
        <w:rPr>
          <w:b/>
        </w:rPr>
      </w:pPr>
    </w:p>
    <w:p w14:paraId="50ED1CD9" w14:textId="77777777" w:rsidR="00744790" w:rsidRPr="00744790" w:rsidRDefault="00744790" w:rsidP="00744790">
      <w:pPr>
        <w:pStyle w:val="CommentText"/>
        <w:rPr>
          <w:sz w:val="24"/>
          <w:szCs w:val="24"/>
        </w:rPr>
      </w:pPr>
      <w:r w:rsidRPr="00744790">
        <w:rPr>
          <w:sz w:val="24"/>
          <w:szCs w:val="24"/>
        </w:rPr>
        <w:t xml:space="preserve">In December 2016, EPA published its report, Hydraulic Fracturing for Oil and Gas: Impacts from the Hydraulic Fracturing Water Cycle on Drinking Water Resources in the United States, available at </w:t>
      </w:r>
      <w:hyperlink r:id="rId10" w:history="1">
        <w:r w:rsidRPr="00744790">
          <w:rPr>
            <w:rStyle w:val="Hyperlink"/>
            <w:color w:val="auto"/>
            <w:sz w:val="24"/>
            <w:szCs w:val="24"/>
          </w:rPr>
          <w:t>https://cfpub.epa.gov/ncea/hfstudy/recordisplay.cfm?deid=332990</w:t>
        </w:r>
      </w:hyperlink>
    </w:p>
    <w:p w14:paraId="0C0EB55D" w14:textId="77777777" w:rsidR="001A79F6" w:rsidRDefault="001A79F6" w:rsidP="00982933">
      <w:pPr>
        <w:autoSpaceDE w:val="0"/>
        <w:autoSpaceDN w:val="0"/>
        <w:adjustRightInd w:val="0"/>
        <w:rPr>
          <w:b/>
        </w:rPr>
      </w:pPr>
    </w:p>
    <w:p w14:paraId="2B507B57" w14:textId="4FAD0143" w:rsidR="00982933" w:rsidRPr="00186F35" w:rsidRDefault="00982933" w:rsidP="00982933">
      <w:pPr>
        <w:autoSpaceDE w:val="0"/>
        <w:autoSpaceDN w:val="0"/>
        <w:adjustRightInd w:val="0"/>
      </w:pPr>
      <w:r>
        <w:rPr>
          <w:b/>
        </w:rPr>
        <w:t xml:space="preserve"> </w:t>
      </w:r>
      <w:r>
        <w:t xml:space="preserve">The </w:t>
      </w:r>
      <w:r w:rsidRPr="009A1CFA">
        <w:t>W</w:t>
      </w:r>
      <w:r>
        <w:t xml:space="preserve">estern Governors’ Association (WGA) </w:t>
      </w:r>
      <w:r w:rsidRPr="00F92C43">
        <w:t>Resolution #</w:t>
      </w:r>
      <w:r>
        <w:t>201</w:t>
      </w:r>
      <w:r w:rsidR="00B47C23">
        <w:t>7</w:t>
      </w:r>
      <w:r>
        <w:t>-4</w:t>
      </w:r>
      <w:r w:rsidRPr="00F92C43">
        <w:t xml:space="preserve"> </w:t>
      </w:r>
      <w:r>
        <w:t>and WSWC Position #</w:t>
      </w:r>
      <w:r w:rsidR="00B47C23">
        <w:t xml:space="preserve">393 </w:t>
      </w:r>
      <w:r>
        <w:t xml:space="preserve">state that: (1) federal efforts involving hydraulic fracturing should leverage state knowledge, experience, policies, and regulations; (2) such efforts should be limited, based upon sound science, and driven by states; and (3) that both organizations oppose </w:t>
      </w:r>
      <w:proofErr w:type="gramStart"/>
      <w:r>
        <w:t>any and all</w:t>
      </w:r>
      <w:proofErr w:type="gramEnd"/>
      <w:r>
        <w:t xml:space="preserve"> efforts that would diminish the primary and exclusive authority of states over the allocation of water resources used in hydraulic fracturing.  </w:t>
      </w:r>
    </w:p>
    <w:p w14:paraId="4998882E" w14:textId="77777777" w:rsidR="00982933" w:rsidRDefault="00982933" w:rsidP="00982933">
      <w:pPr>
        <w:autoSpaceDE w:val="0"/>
        <w:autoSpaceDN w:val="0"/>
        <w:adjustRightInd w:val="0"/>
        <w:rPr>
          <w:b/>
        </w:rPr>
      </w:pPr>
    </w:p>
    <w:p w14:paraId="7BAD22CD" w14:textId="77777777" w:rsidR="00982933" w:rsidRDefault="00982933" w:rsidP="00982933">
      <w:pPr>
        <w:autoSpaceDE w:val="0"/>
        <w:autoSpaceDN w:val="0"/>
        <w:adjustRightInd w:val="0"/>
      </w:pPr>
      <w:r>
        <w:rPr>
          <w:b/>
        </w:rPr>
        <w:t xml:space="preserve">2017-2018:  </w:t>
      </w:r>
      <w:r w:rsidRPr="00F92C43">
        <w:t xml:space="preserve">The Committee will work with the </w:t>
      </w:r>
      <w:r>
        <w:t>Water Resources and Legal Committees</w:t>
      </w:r>
      <w:r w:rsidRPr="00F92C43">
        <w:t xml:space="preserve"> to </w:t>
      </w:r>
      <w:r>
        <w:t>support the WGA and WSWC positions, and will continue to monitor</w:t>
      </w:r>
      <w:r w:rsidRPr="00F92C43">
        <w:t xml:space="preserve"> </w:t>
      </w:r>
      <w:r>
        <w:t xml:space="preserve">and update the WSWC on developments involving hydraulic fracturing, including but not limited to EPA’s study, BLM’s rule, and the EPA/DOE/DOI research program. </w:t>
      </w:r>
    </w:p>
    <w:p w14:paraId="3C1D075D" w14:textId="77777777" w:rsidR="00982933" w:rsidRDefault="00982933" w:rsidP="00982933">
      <w:pPr>
        <w:autoSpaceDE w:val="0"/>
        <w:autoSpaceDN w:val="0"/>
        <w:adjustRightInd w:val="0"/>
      </w:pPr>
    </w:p>
    <w:p w14:paraId="40B03C0C" w14:textId="77777777" w:rsidR="00982933" w:rsidRDefault="00982933" w:rsidP="00982933">
      <w:pPr>
        <w:autoSpaceDE w:val="0"/>
        <w:autoSpaceDN w:val="0"/>
        <w:adjustRightInd w:val="0"/>
      </w:pPr>
      <w:r>
        <w:t xml:space="preserve">The Committee will also work in collaboration with the Water Resources and Legal Committees to prepare a summary of the applicable WSWC states’ experiences with hydraulic fracturing.  The summary will complement previous reports by the Groundwater Protection Council and </w:t>
      </w:r>
      <w:r>
        <w:lastRenderedPageBreak/>
        <w:t xml:space="preserve">others that describe how state programmatic elements and regulations ensure that hydraulic fracturing does not impair water resources and environmental values.  Examples of the types of information sought for the summary include but are not limited to: (1) the impacts of hydraulic fracturing on water quality, if any; (2) examples of how state regulations and other efforts protect water quality; (3) the economic benefits of hydraulic fracturing; (4) water supplies and amounts used for hydraulic fracturing; (5) state interaction with federal agencies involving hydraulic fracturing; and (6) the degree to which states utilize oil and gas taxes and other revenue related to hydraulic fracturing to fund water-related efforts, including but not limited to water planning, water management, and water regulation and protection.  WSWC staff will prepare the summary under the direction of the Committees, and will </w:t>
      </w:r>
      <w:r w:rsidRPr="007B294F">
        <w:t xml:space="preserve">gather the </w:t>
      </w:r>
      <w:r>
        <w:t>necessary information</w:t>
      </w:r>
      <w:r w:rsidRPr="007B294F">
        <w:t xml:space="preserve"> through independent research and focused telephone interviews with select staff from the applicable WSWC state agencies.</w:t>
      </w:r>
      <w:r>
        <w:t xml:space="preserve">  WSWC staff will also coordinate with other relevant state associations and organizations to avoid duplicating prior efforts.</w:t>
      </w:r>
      <w:r w:rsidRPr="007B294F">
        <w:t xml:space="preserve">  It is envisioned that </w:t>
      </w:r>
      <w:r>
        <w:t>the full WSWC will review the summary</w:t>
      </w:r>
      <w:r w:rsidRPr="007B294F">
        <w:t xml:space="preserve">.  </w:t>
      </w:r>
      <w:r>
        <w:t xml:space="preserve"> </w:t>
      </w:r>
    </w:p>
    <w:p w14:paraId="43FC7A37" w14:textId="77777777" w:rsidR="00982933" w:rsidRDefault="00982933" w:rsidP="00982933">
      <w:pPr>
        <w:autoSpaceDE w:val="0"/>
        <w:autoSpaceDN w:val="0"/>
        <w:adjustRightInd w:val="0"/>
      </w:pPr>
    </w:p>
    <w:p w14:paraId="47E9725C" w14:textId="3B16490C" w:rsidR="00982933" w:rsidRDefault="00982933" w:rsidP="00982933">
      <w:pPr>
        <w:tabs>
          <w:tab w:val="left" w:pos="720"/>
        </w:tabs>
      </w:pPr>
      <w:r>
        <w:rPr>
          <w:b/>
        </w:rPr>
        <w:t xml:space="preserve">Time Frame:  </w:t>
      </w:r>
      <w:r>
        <w:t>2016-2018, pending available staff time and resources.</w:t>
      </w:r>
    </w:p>
    <w:sectPr w:rsidR="00982933" w:rsidSect="003D7199">
      <w:headerReference w:type="default" r:id="rId11"/>
      <w:footerReference w:type="even" r:id="rId12"/>
      <w:footerReference w:type="default" r:id="rId13"/>
      <w:pgSz w:w="12240" w:h="15840"/>
      <w:pgMar w:top="1440" w:right="1440" w:bottom="81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816C" w14:textId="77777777" w:rsidR="00A244B9" w:rsidRDefault="00A244B9">
      <w:r>
        <w:separator/>
      </w:r>
    </w:p>
  </w:endnote>
  <w:endnote w:type="continuationSeparator" w:id="0">
    <w:p w14:paraId="008343F6" w14:textId="77777777" w:rsidR="00A244B9" w:rsidRDefault="00A2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D41F" w14:textId="77777777" w:rsidR="00770E30" w:rsidRDefault="00770E30" w:rsidP="00950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958D70" w14:textId="77777777" w:rsidR="00770E30" w:rsidRDefault="0077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334" w14:textId="43583ED6" w:rsidR="00770E30" w:rsidRDefault="00770E30" w:rsidP="00950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712">
      <w:rPr>
        <w:rStyle w:val="PageNumber"/>
        <w:noProof/>
      </w:rPr>
      <w:t>8</w:t>
    </w:r>
    <w:r>
      <w:rPr>
        <w:rStyle w:val="PageNumber"/>
      </w:rPr>
      <w:fldChar w:fldCharType="end"/>
    </w:r>
  </w:p>
  <w:p w14:paraId="33165717" w14:textId="77777777" w:rsidR="00770E30" w:rsidRDefault="0077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5F4B" w14:textId="77777777" w:rsidR="00A244B9" w:rsidRDefault="00A244B9">
      <w:r>
        <w:separator/>
      </w:r>
    </w:p>
  </w:footnote>
  <w:footnote w:type="continuationSeparator" w:id="0">
    <w:p w14:paraId="17A9AC1E" w14:textId="77777777" w:rsidR="00A244B9" w:rsidRDefault="00A2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A91B" w14:textId="77777777" w:rsidR="00770E30" w:rsidRDefault="0077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52CD"/>
    <w:multiLevelType w:val="hybridMultilevel"/>
    <w:tmpl w:val="7A0CA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5E01FC2"/>
    <w:multiLevelType w:val="hybridMultilevel"/>
    <w:tmpl w:val="792ACA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25F5734"/>
    <w:multiLevelType w:val="hybridMultilevel"/>
    <w:tmpl w:val="59CA0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DC434A"/>
    <w:multiLevelType w:val="hybridMultilevel"/>
    <w:tmpl w:val="13ECB65C"/>
    <w:lvl w:ilvl="0" w:tplc="A45A8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F52EA8"/>
    <w:multiLevelType w:val="hybridMultilevel"/>
    <w:tmpl w:val="418AC548"/>
    <w:lvl w:ilvl="0" w:tplc="AE86B55C">
      <w:numFmt w:val="bullet"/>
      <w:lvlText w:val="·"/>
      <w:lvlJc w:val="left"/>
      <w:pPr>
        <w:ind w:left="1344" w:hanging="62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437C3"/>
    <w:multiLevelType w:val="hybridMultilevel"/>
    <w:tmpl w:val="641A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B1B2C"/>
    <w:multiLevelType w:val="multilevel"/>
    <w:tmpl w:val="369E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F8"/>
    <w:rsid w:val="000000A7"/>
    <w:rsid w:val="00002151"/>
    <w:rsid w:val="00002B5E"/>
    <w:rsid w:val="000032FA"/>
    <w:rsid w:val="000039D6"/>
    <w:rsid w:val="00006DE8"/>
    <w:rsid w:val="000071AC"/>
    <w:rsid w:val="0001041A"/>
    <w:rsid w:val="0001046D"/>
    <w:rsid w:val="000109F0"/>
    <w:rsid w:val="0001216E"/>
    <w:rsid w:val="00012530"/>
    <w:rsid w:val="000150D7"/>
    <w:rsid w:val="00016E0B"/>
    <w:rsid w:val="00016F55"/>
    <w:rsid w:val="0001787A"/>
    <w:rsid w:val="00020898"/>
    <w:rsid w:val="000224AE"/>
    <w:rsid w:val="0002259B"/>
    <w:rsid w:val="0002295D"/>
    <w:rsid w:val="000245E4"/>
    <w:rsid w:val="00026BC5"/>
    <w:rsid w:val="00027297"/>
    <w:rsid w:val="000277BB"/>
    <w:rsid w:val="000303ED"/>
    <w:rsid w:val="0003123E"/>
    <w:rsid w:val="000312AA"/>
    <w:rsid w:val="000320CA"/>
    <w:rsid w:val="000336B0"/>
    <w:rsid w:val="000367E1"/>
    <w:rsid w:val="0004021B"/>
    <w:rsid w:val="00044380"/>
    <w:rsid w:val="00045002"/>
    <w:rsid w:val="000457CC"/>
    <w:rsid w:val="000463C8"/>
    <w:rsid w:val="00047C0B"/>
    <w:rsid w:val="00047D2D"/>
    <w:rsid w:val="00047FED"/>
    <w:rsid w:val="00051E45"/>
    <w:rsid w:val="00052E2F"/>
    <w:rsid w:val="00053284"/>
    <w:rsid w:val="00054921"/>
    <w:rsid w:val="00054B86"/>
    <w:rsid w:val="00056632"/>
    <w:rsid w:val="00056FA3"/>
    <w:rsid w:val="000576B0"/>
    <w:rsid w:val="00060136"/>
    <w:rsid w:val="00061474"/>
    <w:rsid w:val="00061620"/>
    <w:rsid w:val="00061D9E"/>
    <w:rsid w:val="0006210A"/>
    <w:rsid w:val="00063B28"/>
    <w:rsid w:val="00063DED"/>
    <w:rsid w:val="000641CB"/>
    <w:rsid w:val="0006651E"/>
    <w:rsid w:val="000665B3"/>
    <w:rsid w:val="000665FA"/>
    <w:rsid w:val="000702F0"/>
    <w:rsid w:val="00070530"/>
    <w:rsid w:val="000705B6"/>
    <w:rsid w:val="00070700"/>
    <w:rsid w:val="00070F20"/>
    <w:rsid w:val="0007194D"/>
    <w:rsid w:val="00072D4E"/>
    <w:rsid w:val="000743F8"/>
    <w:rsid w:val="000753A8"/>
    <w:rsid w:val="000758F9"/>
    <w:rsid w:val="00076F76"/>
    <w:rsid w:val="000814E9"/>
    <w:rsid w:val="00081BA7"/>
    <w:rsid w:val="00082A89"/>
    <w:rsid w:val="00082FBB"/>
    <w:rsid w:val="0008303B"/>
    <w:rsid w:val="00084541"/>
    <w:rsid w:val="00084A3C"/>
    <w:rsid w:val="00085BBF"/>
    <w:rsid w:val="00086050"/>
    <w:rsid w:val="00086542"/>
    <w:rsid w:val="00086B34"/>
    <w:rsid w:val="00087857"/>
    <w:rsid w:val="00090967"/>
    <w:rsid w:val="00091251"/>
    <w:rsid w:val="000917DB"/>
    <w:rsid w:val="00091908"/>
    <w:rsid w:val="0009198A"/>
    <w:rsid w:val="00092024"/>
    <w:rsid w:val="00092C61"/>
    <w:rsid w:val="00093E29"/>
    <w:rsid w:val="000956BE"/>
    <w:rsid w:val="0009581B"/>
    <w:rsid w:val="00096015"/>
    <w:rsid w:val="000963D7"/>
    <w:rsid w:val="000972E2"/>
    <w:rsid w:val="00097477"/>
    <w:rsid w:val="00097C10"/>
    <w:rsid w:val="000A2919"/>
    <w:rsid w:val="000A2EFE"/>
    <w:rsid w:val="000A3712"/>
    <w:rsid w:val="000A3754"/>
    <w:rsid w:val="000A44B3"/>
    <w:rsid w:val="000A4803"/>
    <w:rsid w:val="000A5F6B"/>
    <w:rsid w:val="000A60C1"/>
    <w:rsid w:val="000A7B2A"/>
    <w:rsid w:val="000A7CFA"/>
    <w:rsid w:val="000B16B7"/>
    <w:rsid w:val="000B34B1"/>
    <w:rsid w:val="000B392B"/>
    <w:rsid w:val="000B69F0"/>
    <w:rsid w:val="000B6D67"/>
    <w:rsid w:val="000B715B"/>
    <w:rsid w:val="000B734B"/>
    <w:rsid w:val="000B79F5"/>
    <w:rsid w:val="000C1315"/>
    <w:rsid w:val="000C2199"/>
    <w:rsid w:val="000C29A9"/>
    <w:rsid w:val="000C42CA"/>
    <w:rsid w:val="000C474E"/>
    <w:rsid w:val="000C772A"/>
    <w:rsid w:val="000C79A0"/>
    <w:rsid w:val="000D1B8D"/>
    <w:rsid w:val="000D2BD3"/>
    <w:rsid w:val="000D3972"/>
    <w:rsid w:val="000D5089"/>
    <w:rsid w:val="000D5A4B"/>
    <w:rsid w:val="000D6347"/>
    <w:rsid w:val="000D67EA"/>
    <w:rsid w:val="000D688A"/>
    <w:rsid w:val="000D6EDB"/>
    <w:rsid w:val="000E230F"/>
    <w:rsid w:val="000E265D"/>
    <w:rsid w:val="000E487E"/>
    <w:rsid w:val="000E5CDE"/>
    <w:rsid w:val="000F069B"/>
    <w:rsid w:val="000F0F7D"/>
    <w:rsid w:val="000F12BD"/>
    <w:rsid w:val="000F184C"/>
    <w:rsid w:val="000F1B58"/>
    <w:rsid w:val="000F2BB4"/>
    <w:rsid w:val="000F2FEF"/>
    <w:rsid w:val="000F4711"/>
    <w:rsid w:val="000F4C17"/>
    <w:rsid w:val="000F6C55"/>
    <w:rsid w:val="000F6F9D"/>
    <w:rsid w:val="00100727"/>
    <w:rsid w:val="00103276"/>
    <w:rsid w:val="001043B1"/>
    <w:rsid w:val="0010510B"/>
    <w:rsid w:val="001052E2"/>
    <w:rsid w:val="00105C5E"/>
    <w:rsid w:val="001061BC"/>
    <w:rsid w:val="0010735A"/>
    <w:rsid w:val="00107663"/>
    <w:rsid w:val="00107B0B"/>
    <w:rsid w:val="00107FB2"/>
    <w:rsid w:val="001107CF"/>
    <w:rsid w:val="00110C1E"/>
    <w:rsid w:val="00111904"/>
    <w:rsid w:val="00111CD8"/>
    <w:rsid w:val="00111EA8"/>
    <w:rsid w:val="001133AC"/>
    <w:rsid w:val="00114186"/>
    <w:rsid w:val="001144BC"/>
    <w:rsid w:val="00115091"/>
    <w:rsid w:val="001158C8"/>
    <w:rsid w:val="001159C5"/>
    <w:rsid w:val="00116312"/>
    <w:rsid w:val="00116702"/>
    <w:rsid w:val="00117106"/>
    <w:rsid w:val="00117C66"/>
    <w:rsid w:val="001206BB"/>
    <w:rsid w:val="00122354"/>
    <w:rsid w:val="00122536"/>
    <w:rsid w:val="001229F5"/>
    <w:rsid w:val="00122C17"/>
    <w:rsid w:val="00124CDE"/>
    <w:rsid w:val="001252AC"/>
    <w:rsid w:val="001272D7"/>
    <w:rsid w:val="00131C77"/>
    <w:rsid w:val="001321B0"/>
    <w:rsid w:val="0013286E"/>
    <w:rsid w:val="00133497"/>
    <w:rsid w:val="001353C3"/>
    <w:rsid w:val="00135D38"/>
    <w:rsid w:val="00136A02"/>
    <w:rsid w:val="001375C0"/>
    <w:rsid w:val="00137FEA"/>
    <w:rsid w:val="0014308D"/>
    <w:rsid w:val="00143E64"/>
    <w:rsid w:val="00147004"/>
    <w:rsid w:val="00147878"/>
    <w:rsid w:val="00152D4C"/>
    <w:rsid w:val="001531F9"/>
    <w:rsid w:val="001537C2"/>
    <w:rsid w:val="00154849"/>
    <w:rsid w:val="0015638F"/>
    <w:rsid w:val="00157222"/>
    <w:rsid w:val="00157700"/>
    <w:rsid w:val="001622E3"/>
    <w:rsid w:val="00163037"/>
    <w:rsid w:val="00163A92"/>
    <w:rsid w:val="00164308"/>
    <w:rsid w:val="00164E95"/>
    <w:rsid w:val="00164F6C"/>
    <w:rsid w:val="001656EC"/>
    <w:rsid w:val="00165C22"/>
    <w:rsid w:val="00166BAD"/>
    <w:rsid w:val="00170CF3"/>
    <w:rsid w:val="00172DDC"/>
    <w:rsid w:val="001746F1"/>
    <w:rsid w:val="00175532"/>
    <w:rsid w:val="0017574F"/>
    <w:rsid w:val="00176795"/>
    <w:rsid w:val="00176ADC"/>
    <w:rsid w:val="00177261"/>
    <w:rsid w:val="00180EAE"/>
    <w:rsid w:val="00180F97"/>
    <w:rsid w:val="00185AA1"/>
    <w:rsid w:val="00185BA5"/>
    <w:rsid w:val="001861E1"/>
    <w:rsid w:val="00186C75"/>
    <w:rsid w:val="00186F35"/>
    <w:rsid w:val="001878C8"/>
    <w:rsid w:val="00190289"/>
    <w:rsid w:val="00190FE4"/>
    <w:rsid w:val="00191A79"/>
    <w:rsid w:val="001932F7"/>
    <w:rsid w:val="00196066"/>
    <w:rsid w:val="0019768F"/>
    <w:rsid w:val="001A10BB"/>
    <w:rsid w:val="001A17DF"/>
    <w:rsid w:val="001A22DF"/>
    <w:rsid w:val="001A2323"/>
    <w:rsid w:val="001A2B7D"/>
    <w:rsid w:val="001A346F"/>
    <w:rsid w:val="001A4957"/>
    <w:rsid w:val="001A4A61"/>
    <w:rsid w:val="001A689B"/>
    <w:rsid w:val="001A79F6"/>
    <w:rsid w:val="001A7D6A"/>
    <w:rsid w:val="001B0106"/>
    <w:rsid w:val="001B4ACB"/>
    <w:rsid w:val="001B548C"/>
    <w:rsid w:val="001B5895"/>
    <w:rsid w:val="001B6A7D"/>
    <w:rsid w:val="001B754D"/>
    <w:rsid w:val="001C0AAE"/>
    <w:rsid w:val="001C2482"/>
    <w:rsid w:val="001C4873"/>
    <w:rsid w:val="001C57DB"/>
    <w:rsid w:val="001C5CA6"/>
    <w:rsid w:val="001C6B05"/>
    <w:rsid w:val="001C6E35"/>
    <w:rsid w:val="001D197E"/>
    <w:rsid w:val="001D1B71"/>
    <w:rsid w:val="001D2019"/>
    <w:rsid w:val="001D278B"/>
    <w:rsid w:val="001D310E"/>
    <w:rsid w:val="001D4A6A"/>
    <w:rsid w:val="001D63E9"/>
    <w:rsid w:val="001D6C41"/>
    <w:rsid w:val="001D726D"/>
    <w:rsid w:val="001D7C1B"/>
    <w:rsid w:val="001E035C"/>
    <w:rsid w:val="001E0535"/>
    <w:rsid w:val="001E077E"/>
    <w:rsid w:val="001E193C"/>
    <w:rsid w:val="001E1DC7"/>
    <w:rsid w:val="001E2E9C"/>
    <w:rsid w:val="001E6EE9"/>
    <w:rsid w:val="001E75D6"/>
    <w:rsid w:val="001E75E0"/>
    <w:rsid w:val="001E7B5C"/>
    <w:rsid w:val="001F06F1"/>
    <w:rsid w:val="001F07FE"/>
    <w:rsid w:val="001F1A43"/>
    <w:rsid w:val="001F23A0"/>
    <w:rsid w:val="001F3D72"/>
    <w:rsid w:val="001F48FD"/>
    <w:rsid w:val="001F5436"/>
    <w:rsid w:val="001F67FA"/>
    <w:rsid w:val="00200A02"/>
    <w:rsid w:val="00201657"/>
    <w:rsid w:val="0020272E"/>
    <w:rsid w:val="002033CC"/>
    <w:rsid w:val="00204E12"/>
    <w:rsid w:val="002068BC"/>
    <w:rsid w:val="00210847"/>
    <w:rsid w:val="00211E44"/>
    <w:rsid w:val="0021366B"/>
    <w:rsid w:val="0021492C"/>
    <w:rsid w:val="00214D4F"/>
    <w:rsid w:val="00215ECB"/>
    <w:rsid w:val="00217051"/>
    <w:rsid w:val="0021751F"/>
    <w:rsid w:val="00221385"/>
    <w:rsid w:val="002222A0"/>
    <w:rsid w:val="002234E6"/>
    <w:rsid w:val="002245DA"/>
    <w:rsid w:val="00224EEB"/>
    <w:rsid w:val="002262BD"/>
    <w:rsid w:val="00226414"/>
    <w:rsid w:val="0022657D"/>
    <w:rsid w:val="00227521"/>
    <w:rsid w:val="0023264D"/>
    <w:rsid w:val="00233B72"/>
    <w:rsid w:val="00234875"/>
    <w:rsid w:val="00235A0E"/>
    <w:rsid w:val="00235E02"/>
    <w:rsid w:val="002364CB"/>
    <w:rsid w:val="00237684"/>
    <w:rsid w:val="00240B33"/>
    <w:rsid w:val="00241ACF"/>
    <w:rsid w:val="00242804"/>
    <w:rsid w:val="00243220"/>
    <w:rsid w:val="00243445"/>
    <w:rsid w:val="00243549"/>
    <w:rsid w:val="00243B4E"/>
    <w:rsid w:val="00244BF0"/>
    <w:rsid w:val="002450AC"/>
    <w:rsid w:val="00245A68"/>
    <w:rsid w:val="00246A7D"/>
    <w:rsid w:val="00250C09"/>
    <w:rsid w:val="00250D86"/>
    <w:rsid w:val="00250DDE"/>
    <w:rsid w:val="00252799"/>
    <w:rsid w:val="002531C1"/>
    <w:rsid w:val="00253626"/>
    <w:rsid w:val="00253697"/>
    <w:rsid w:val="00254474"/>
    <w:rsid w:val="0025531C"/>
    <w:rsid w:val="00256DCE"/>
    <w:rsid w:val="00256FC1"/>
    <w:rsid w:val="0026072C"/>
    <w:rsid w:val="00260A3F"/>
    <w:rsid w:val="00261C42"/>
    <w:rsid w:val="00261C84"/>
    <w:rsid w:val="00261EB1"/>
    <w:rsid w:val="002630E0"/>
    <w:rsid w:val="0026327E"/>
    <w:rsid w:val="0026354F"/>
    <w:rsid w:val="00263DEC"/>
    <w:rsid w:val="00267264"/>
    <w:rsid w:val="00270D4F"/>
    <w:rsid w:val="002720EC"/>
    <w:rsid w:val="00272E78"/>
    <w:rsid w:val="00272F07"/>
    <w:rsid w:val="00273809"/>
    <w:rsid w:val="00276375"/>
    <w:rsid w:val="0027673E"/>
    <w:rsid w:val="002776AF"/>
    <w:rsid w:val="002777A8"/>
    <w:rsid w:val="00277E40"/>
    <w:rsid w:val="0028076E"/>
    <w:rsid w:val="002817D7"/>
    <w:rsid w:val="00281DBD"/>
    <w:rsid w:val="00282561"/>
    <w:rsid w:val="0028432F"/>
    <w:rsid w:val="00284669"/>
    <w:rsid w:val="00284EB9"/>
    <w:rsid w:val="00285774"/>
    <w:rsid w:val="00285B4A"/>
    <w:rsid w:val="00291A5C"/>
    <w:rsid w:val="00293BCC"/>
    <w:rsid w:val="00297227"/>
    <w:rsid w:val="00297815"/>
    <w:rsid w:val="00297DE8"/>
    <w:rsid w:val="002A144C"/>
    <w:rsid w:val="002A1755"/>
    <w:rsid w:val="002A2117"/>
    <w:rsid w:val="002A23E9"/>
    <w:rsid w:val="002A2644"/>
    <w:rsid w:val="002A466D"/>
    <w:rsid w:val="002A5F28"/>
    <w:rsid w:val="002A6564"/>
    <w:rsid w:val="002B07AA"/>
    <w:rsid w:val="002B0EEE"/>
    <w:rsid w:val="002B16BA"/>
    <w:rsid w:val="002B2C10"/>
    <w:rsid w:val="002B3B78"/>
    <w:rsid w:val="002B4312"/>
    <w:rsid w:val="002B4EC0"/>
    <w:rsid w:val="002B588B"/>
    <w:rsid w:val="002B6659"/>
    <w:rsid w:val="002B6B82"/>
    <w:rsid w:val="002B7430"/>
    <w:rsid w:val="002B79A8"/>
    <w:rsid w:val="002B7A24"/>
    <w:rsid w:val="002C0313"/>
    <w:rsid w:val="002C1068"/>
    <w:rsid w:val="002C1974"/>
    <w:rsid w:val="002C2B45"/>
    <w:rsid w:val="002C36AF"/>
    <w:rsid w:val="002C3A20"/>
    <w:rsid w:val="002C5FD0"/>
    <w:rsid w:val="002C78DA"/>
    <w:rsid w:val="002D0116"/>
    <w:rsid w:val="002D0560"/>
    <w:rsid w:val="002D23AC"/>
    <w:rsid w:val="002D673A"/>
    <w:rsid w:val="002D6C1E"/>
    <w:rsid w:val="002E09E6"/>
    <w:rsid w:val="002E1CE0"/>
    <w:rsid w:val="002E2EF4"/>
    <w:rsid w:val="002E4093"/>
    <w:rsid w:val="002E5066"/>
    <w:rsid w:val="002E5D07"/>
    <w:rsid w:val="002E66EE"/>
    <w:rsid w:val="002F2734"/>
    <w:rsid w:val="002F2E90"/>
    <w:rsid w:val="002F2F17"/>
    <w:rsid w:val="002F3FA1"/>
    <w:rsid w:val="002F453C"/>
    <w:rsid w:val="002F454E"/>
    <w:rsid w:val="002F7F66"/>
    <w:rsid w:val="003003A9"/>
    <w:rsid w:val="00301749"/>
    <w:rsid w:val="003029A4"/>
    <w:rsid w:val="00302D56"/>
    <w:rsid w:val="0030347F"/>
    <w:rsid w:val="003041B0"/>
    <w:rsid w:val="00304C34"/>
    <w:rsid w:val="00306DF4"/>
    <w:rsid w:val="00307BA8"/>
    <w:rsid w:val="0031048E"/>
    <w:rsid w:val="00312F50"/>
    <w:rsid w:val="00313048"/>
    <w:rsid w:val="00313146"/>
    <w:rsid w:val="00313DFD"/>
    <w:rsid w:val="00314068"/>
    <w:rsid w:val="00315A25"/>
    <w:rsid w:val="00317108"/>
    <w:rsid w:val="00317471"/>
    <w:rsid w:val="00317603"/>
    <w:rsid w:val="003208A6"/>
    <w:rsid w:val="003210A1"/>
    <w:rsid w:val="003212DF"/>
    <w:rsid w:val="00321B44"/>
    <w:rsid w:val="00322E1B"/>
    <w:rsid w:val="00322F90"/>
    <w:rsid w:val="003230EA"/>
    <w:rsid w:val="00323F02"/>
    <w:rsid w:val="00324A46"/>
    <w:rsid w:val="00325D51"/>
    <w:rsid w:val="00326714"/>
    <w:rsid w:val="0032767D"/>
    <w:rsid w:val="00327AA6"/>
    <w:rsid w:val="00330B25"/>
    <w:rsid w:val="00330D81"/>
    <w:rsid w:val="003310E0"/>
    <w:rsid w:val="003318BC"/>
    <w:rsid w:val="00331BE8"/>
    <w:rsid w:val="00332AD0"/>
    <w:rsid w:val="00332DBF"/>
    <w:rsid w:val="003333C7"/>
    <w:rsid w:val="0033420B"/>
    <w:rsid w:val="003356A1"/>
    <w:rsid w:val="00335849"/>
    <w:rsid w:val="00335EDC"/>
    <w:rsid w:val="00336CE7"/>
    <w:rsid w:val="00343A0D"/>
    <w:rsid w:val="003448E8"/>
    <w:rsid w:val="00346255"/>
    <w:rsid w:val="00346A56"/>
    <w:rsid w:val="00347936"/>
    <w:rsid w:val="00350622"/>
    <w:rsid w:val="003528F0"/>
    <w:rsid w:val="003541C1"/>
    <w:rsid w:val="00354A1D"/>
    <w:rsid w:val="0035595A"/>
    <w:rsid w:val="00356BD0"/>
    <w:rsid w:val="0035770F"/>
    <w:rsid w:val="00360491"/>
    <w:rsid w:val="00360959"/>
    <w:rsid w:val="00360965"/>
    <w:rsid w:val="00362C2D"/>
    <w:rsid w:val="00362C80"/>
    <w:rsid w:val="00363BCE"/>
    <w:rsid w:val="00364C11"/>
    <w:rsid w:val="003662B7"/>
    <w:rsid w:val="0036634A"/>
    <w:rsid w:val="00366829"/>
    <w:rsid w:val="0036793B"/>
    <w:rsid w:val="00367A8D"/>
    <w:rsid w:val="003707AA"/>
    <w:rsid w:val="0037092A"/>
    <w:rsid w:val="00371213"/>
    <w:rsid w:val="00371BDD"/>
    <w:rsid w:val="00372516"/>
    <w:rsid w:val="00375599"/>
    <w:rsid w:val="00376699"/>
    <w:rsid w:val="0037707E"/>
    <w:rsid w:val="003860F2"/>
    <w:rsid w:val="003869EC"/>
    <w:rsid w:val="00387F5D"/>
    <w:rsid w:val="003900D1"/>
    <w:rsid w:val="00390793"/>
    <w:rsid w:val="00391470"/>
    <w:rsid w:val="003915AC"/>
    <w:rsid w:val="003922E8"/>
    <w:rsid w:val="0039340A"/>
    <w:rsid w:val="00393C68"/>
    <w:rsid w:val="003972D5"/>
    <w:rsid w:val="0039733A"/>
    <w:rsid w:val="003A026F"/>
    <w:rsid w:val="003A0884"/>
    <w:rsid w:val="003A1476"/>
    <w:rsid w:val="003A2CE7"/>
    <w:rsid w:val="003A391F"/>
    <w:rsid w:val="003A3EEE"/>
    <w:rsid w:val="003A4AB9"/>
    <w:rsid w:val="003A5A15"/>
    <w:rsid w:val="003A6BB4"/>
    <w:rsid w:val="003A6C91"/>
    <w:rsid w:val="003A77A4"/>
    <w:rsid w:val="003A7C0F"/>
    <w:rsid w:val="003A7F4B"/>
    <w:rsid w:val="003B20B7"/>
    <w:rsid w:val="003B228F"/>
    <w:rsid w:val="003B4270"/>
    <w:rsid w:val="003B4D08"/>
    <w:rsid w:val="003B4E7F"/>
    <w:rsid w:val="003B535F"/>
    <w:rsid w:val="003B551B"/>
    <w:rsid w:val="003B60A8"/>
    <w:rsid w:val="003B6CF9"/>
    <w:rsid w:val="003B775B"/>
    <w:rsid w:val="003C12F6"/>
    <w:rsid w:val="003C19FB"/>
    <w:rsid w:val="003C394C"/>
    <w:rsid w:val="003C3E49"/>
    <w:rsid w:val="003C482E"/>
    <w:rsid w:val="003C4D56"/>
    <w:rsid w:val="003C560C"/>
    <w:rsid w:val="003C5883"/>
    <w:rsid w:val="003C679B"/>
    <w:rsid w:val="003C6CDC"/>
    <w:rsid w:val="003C7A03"/>
    <w:rsid w:val="003D0050"/>
    <w:rsid w:val="003D1634"/>
    <w:rsid w:val="003D20B1"/>
    <w:rsid w:val="003D3478"/>
    <w:rsid w:val="003D3770"/>
    <w:rsid w:val="003D53AD"/>
    <w:rsid w:val="003D55EE"/>
    <w:rsid w:val="003D7199"/>
    <w:rsid w:val="003D72EC"/>
    <w:rsid w:val="003E0014"/>
    <w:rsid w:val="003E0048"/>
    <w:rsid w:val="003E179A"/>
    <w:rsid w:val="003E198C"/>
    <w:rsid w:val="003E266F"/>
    <w:rsid w:val="003E2C46"/>
    <w:rsid w:val="003E5AC3"/>
    <w:rsid w:val="003E6FF6"/>
    <w:rsid w:val="003F495F"/>
    <w:rsid w:val="003F516C"/>
    <w:rsid w:val="003F521E"/>
    <w:rsid w:val="003F5590"/>
    <w:rsid w:val="003F571E"/>
    <w:rsid w:val="0040093C"/>
    <w:rsid w:val="004037EB"/>
    <w:rsid w:val="0040446F"/>
    <w:rsid w:val="00404800"/>
    <w:rsid w:val="0040579B"/>
    <w:rsid w:val="004057FB"/>
    <w:rsid w:val="004073B7"/>
    <w:rsid w:val="00410304"/>
    <w:rsid w:val="004103AE"/>
    <w:rsid w:val="004104F4"/>
    <w:rsid w:val="00410B11"/>
    <w:rsid w:val="0041382F"/>
    <w:rsid w:val="00413E7F"/>
    <w:rsid w:val="00414A43"/>
    <w:rsid w:val="004153C1"/>
    <w:rsid w:val="00416517"/>
    <w:rsid w:val="00417512"/>
    <w:rsid w:val="00417834"/>
    <w:rsid w:val="00421150"/>
    <w:rsid w:val="00421160"/>
    <w:rsid w:val="004225E5"/>
    <w:rsid w:val="00423AF9"/>
    <w:rsid w:val="00423ECF"/>
    <w:rsid w:val="00430EA8"/>
    <w:rsid w:val="004312F7"/>
    <w:rsid w:val="00431579"/>
    <w:rsid w:val="00431A79"/>
    <w:rsid w:val="00434F6E"/>
    <w:rsid w:val="004370B5"/>
    <w:rsid w:val="00440F70"/>
    <w:rsid w:val="00441362"/>
    <w:rsid w:val="004426CC"/>
    <w:rsid w:val="00442B97"/>
    <w:rsid w:val="0044343E"/>
    <w:rsid w:val="004435BA"/>
    <w:rsid w:val="00443CC6"/>
    <w:rsid w:val="00443FA5"/>
    <w:rsid w:val="00444732"/>
    <w:rsid w:val="0044499D"/>
    <w:rsid w:val="00445EFE"/>
    <w:rsid w:val="00447619"/>
    <w:rsid w:val="00447BD1"/>
    <w:rsid w:val="004503DA"/>
    <w:rsid w:val="00452F6A"/>
    <w:rsid w:val="004537B4"/>
    <w:rsid w:val="00453AC7"/>
    <w:rsid w:val="00455064"/>
    <w:rsid w:val="004600E8"/>
    <w:rsid w:val="00460D34"/>
    <w:rsid w:val="00460EDF"/>
    <w:rsid w:val="00461D36"/>
    <w:rsid w:val="0046245D"/>
    <w:rsid w:val="00462E9C"/>
    <w:rsid w:val="00463242"/>
    <w:rsid w:val="0046494F"/>
    <w:rsid w:val="00464AA9"/>
    <w:rsid w:val="00472355"/>
    <w:rsid w:val="00472C97"/>
    <w:rsid w:val="004736C6"/>
    <w:rsid w:val="0047506B"/>
    <w:rsid w:val="004754C9"/>
    <w:rsid w:val="00475C88"/>
    <w:rsid w:val="0047640D"/>
    <w:rsid w:val="0047647C"/>
    <w:rsid w:val="004771D4"/>
    <w:rsid w:val="00477389"/>
    <w:rsid w:val="004806A7"/>
    <w:rsid w:val="00480830"/>
    <w:rsid w:val="00481656"/>
    <w:rsid w:val="0048531C"/>
    <w:rsid w:val="00486E9B"/>
    <w:rsid w:val="00490C10"/>
    <w:rsid w:val="004913B4"/>
    <w:rsid w:val="00491CBC"/>
    <w:rsid w:val="00491F4E"/>
    <w:rsid w:val="004927CF"/>
    <w:rsid w:val="00492AC2"/>
    <w:rsid w:val="0049329E"/>
    <w:rsid w:val="0049399C"/>
    <w:rsid w:val="00493C97"/>
    <w:rsid w:val="00495D1D"/>
    <w:rsid w:val="0049604E"/>
    <w:rsid w:val="0049624C"/>
    <w:rsid w:val="00496BAC"/>
    <w:rsid w:val="004970D0"/>
    <w:rsid w:val="004979C3"/>
    <w:rsid w:val="00497D50"/>
    <w:rsid w:val="004A016D"/>
    <w:rsid w:val="004A01F3"/>
    <w:rsid w:val="004A15D0"/>
    <w:rsid w:val="004A15E4"/>
    <w:rsid w:val="004A2501"/>
    <w:rsid w:val="004A2EED"/>
    <w:rsid w:val="004A3083"/>
    <w:rsid w:val="004A3344"/>
    <w:rsid w:val="004A48EB"/>
    <w:rsid w:val="004A62EA"/>
    <w:rsid w:val="004B0107"/>
    <w:rsid w:val="004B2886"/>
    <w:rsid w:val="004B3418"/>
    <w:rsid w:val="004B3513"/>
    <w:rsid w:val="004B7D1C"/>
    <w:rsid w:val="004C07F1"/>
    <w:rsid w:val="004C144A"/>
    <w:rsid w:val="004C1C33"/>
    <w:rsid w:val="004C1F11"/>
    <w:rsid w:val="004C339B"/>
    <w:rsid w:val="004C3F89"/>
    <w:rsid w:val="004C5667"/>
    <w:rsid w:val="004C7601"/>
    <w:rsid w:val="004D188E"/>
    <w:rsid w:val="004D1CF5"/>
    <w:rsid w:val="004D299F"/>
    <w:rsid w:val="004D2B56"/>
    <w:rsid w:val="004D2C7C"/>
    <w:rsid w:val="004D3BDB"/>
    <w:rsid w:val="004D44D6"/>
    <w:rsid w:val="004D5392"/>
    <w:rsid w:val="004D584C"/>
    <w:rsid w:val="004E128C"/>
    <w:rsid w:val="004E12F2"/>
    <w:rsid w:val="004E3CCA"/>
    <w:rsid w:val="004E55BF"/>
    <w:rsid w:val="004E719B"/>
    <w:rsid w:val="004F0886"/>
    <w:rsid w:val="004F12F2"/>
    <w:rsid w:val="004F1CA6"/>
    <w:rsid w:val="004F29D8"/>
    <w:rsid w:val="004F31AF"/>
    <w:rsid w:val="004F3919"/>
    <w:rsid w:val="004F538E"/>
    <w:rsid w:val="004F5CA2"/>
    <w:rsid w:val="004F6F12"/>
    <w:rsid w:val="004F7A30"/>
    <w:rsid w:val="00504B08"/>
    <w:rsid w:val="00507677"/>
    <w:rsid w:val="00507B43"/>
    <w:rsid w:val="0051059F"/>
    <w:rsid w:val="00510EBF"/>
    <w:rsid w:val="00511D8A"/>
    <w:rsid w:val="0051206E"/>
    <w:rsid w:val="005128B2"/>
    <w:rsid w:val="00513E6F"/>
    <w:rsid w:val="005143F1"/>
    <w:rsid w:val="00514FF0"/>
    <w:rsid w:val="005153B6"/>
    <w:rsid w:val="00515734"/>
    <w:rsid w:val="00515AEA"/>
    <w:rsid w:val="00517C1A"/>
    <w:rsid w:val="00517F5F"/>
    <w:rsid w:val="00520176"/>
    <w:rsid w:val="005228FD"/>
    <w:rsid w:val="00522CB4"/>
    <w:rsid w:val="00523346"/>
    <w:rsid w:val="005237D1"/>
    <w:rsid w:val="00523923"/>
    <w:rsid w:val="00523B72"/>
    <w:rsid w:val="005251F8"/>
    <w:rsid w:val="0052590E"/>
    <w:rsid w:val="00525FAD"/>
    <w:rsid w:val="005304F0"/>
    <w:rsid w:val="00530A6E"/>
    <w:rsid w:val="00530F80"/>
    <w:rsid w:val="00535128"/>
    <w:rsid w:val="005351D8"/>
    <w:rsid w:val="00535286"/>
    <w:rsid w:val="005365F9"/>
    <w:rsid w:val="005368E6"/>
    <w:rsid w:val="005369F7"/>
    <w:rsid w:val="00536BC7"/>
    <w:rsid w:val="00536FD9"/>
    <w:rsid w:val="00537D81"/>
    <w:rsid w:val="00540428"/>
    <w:rsid w:val="005406DD"/>
    <w:rsid w:val="00540CAC"/>
    <w:rsid w:val="00541075"/>
    <w:rsid w:val="00542C72"/>
    <w:rsid w:val="00543288"/>
    <w:rsid w:val="0054333C"/>
    <w:rsid w:val="0054362B"/>
    <w:rsid w:val="0054491D"/>
    <w:rsid w:val="00544AF1"/>
    <w:rsid w:val="00546410"/>
    <w:rsid w:val="005464E5"/>
    <w:rsid w:val="0054657E"/>
    <w:rsid w:val="00547383"/>
    <w:rsid w:val="00547F27"/>
    <w:rsid w:val="0055007B"/>
    <w:rsid w:val="00551059"/>
    <w:rsid w:val="00551F4B"/>
    <w:rsid w:val="00552FF6"/>
    <w:rsid w:val="005539A8"/>
    <w:rsid w:val="00553D69"/>
    <w:rsid w:val="00554060"/>
    <w:rsid w:val="00556A46"/>
    <w:rsid w:val="00557B55"/>
    <w:rsid w:val="0056000A"/>
    <w:rsid w:val="0056082B"/>
    <w:rsid w:val="00560AF3"/>
    <w:rsid w:val="00560E10"/>
    <w:rsid w:val="005633A9"/>
    <w:rsid w:val="005637A7"/>
    <w:rsid w:val="00564245"/>
    <w:rsid w:val="00564819"/>
    <w:rsid w:val="005649B8"/>
    <w:rsid w:val="005660A3"/>
    <w:rsid w:val="00567645"/>
    <w:rsid w:val="00567700"/>
    <w:rsid w:val="0057047C"/>
    <w:rsid w:val="00570733"/>
    <w:rsid w:val="005708A2"/>
    <w:rsid w:val="00570ACF"/>
    <w:rsid w:val="00571F3E"/>
    <w:rsid w:val="005723C3"/>
    <w:rsid w:val="005723E1"/>
    <w:rsid w:val="00572FA1"/>
    <w:rsid w:val="00573115"/>
    <w:rsid w:val="00574E1C"/>
    <w:rsid w:val="0057608F"/>
    <w:rsid w:val="00576465"/>
    <w:rsid w:val="0058018A"/>
    <w:rsid w:val="00580331"/>
    <w:rsid w:val="00580B5B"/>
    <w:rsid w:val="005813DB"/>
    <w:rsid w:val="00581416"/>
    <w:rsid w:val="005830D5"/>
    <w:rsid w:val="00584243"/>
    <w:rsid w:val="005857EC"/>
    <w:rsid w:val="00585F7E"/>
    <w:rsid w:val="0058641D"/>
    <w:rsid w:val="00586445"/>
    <w:rsid w:val="005864CB"/>
    <w:rsid w:val="0058733A"/>
    <w:rsid w:val="00587597"/>
    <w:rsid w:val="00587E90"/>
    <w:rsid w:val="00587F1C"/>
    <w:rsid w:val="00590812"/>
    <w:rsid w:val="00590D3D"/>
    <w:rsid w:val="005911E2"/>
    <w:rsid w:val="00591263"/>
    <w:rsid w:val="0059138E"/>
    <w:rsid w:val="0059192B"/>
    <w:rsid w:val="00592745"/>
    <w:rsid w:val="005939F2"/>
    <w:rsid w:val="00595488"/>
    <w:rsid w:val="00595F97"/>
    <w:rsid w:val="005A17B2"/>
    <w:rsid w:val="005A1D57"/>
    <w:rsid w:val="005A21B9"/>
    <w:rsid w:val="005A2603"/>
    <w:rsid w:val="005A29F8"/>
    <w:rsid w:val="005A3671"/>
    <w:rsid w:val="005A428A"/>
    <w:rsid w:val="005A4C45"/>
    <w:rsid w:val="005A6063"/>
    <w:rsid w:val="005B04B5"/>
    <w:rsid w:val="005B3517"/>
    <w:rsid w:val="005B3999"/>
    <w:rsid w:val="005B5D72"/>
    <w:rsid w:val="005B7B5F"/>
    <w:rsid w:val="005C1EFE"/>
    <w:rsid w:val="005C30A6"/>
    <w:rsid w:val="005C425D"/>
    <w:rsid w:val="005C46FC"/>
    <w:rsid w:val="005C51C2"/>
    <w:rsid w:val="005C52AF"/>
    <w:rsid w:val="005C5BFF"/>
    <w:rsid w:val="005C628E"/>
    <w:rsid w:val="005C6E9D"/>
    <w:rsid w:val="005C76E8"/>
    <w:rsid w:val="005C7AA3"/>
    <w:rsid w:val="005D0654"/>
    <w:rsid w:val="005D147C"/>
    <w:rsid w:val="005D19F3"/>
    <w:rsid w:val="005D2E5C"/>
    <w:rsid w:val="005D3436"/>
    <w:rsid w:val="005D3957"/>
    <w:rsid w:val="005D62FE"/>
    <w:rsid w:val="005D6616"/>
    <w:rsid w:val="005D69AE"/>
    <w:rsid w:val="005D6A49"/>
    <w:rsid w:val="005E0514"/>
    <w:rsid w:val="005E2738"/>
    <w:rsid w:val="005E46C0"/>
    <w:rsid w:val="005E4EC6"/>
    <w:rsid w:val="005E4F6D"/>
    <w:rsid w:val="005E6019"/>
    <w:rsid w:val="005E60B2"/>
    <w:rsid w:val="005E68E7"/>
    <w:rsid w:val="005E6AEE"/>
    <w:rsid w:val="005E7114"/>
    <w:rsid w:val="005E7AE6"/>
    <w:rsid w:val="005F0117"/>
    <w:rsid w:val="005F0367"/>
    <w:rsid w:val="005F2DB7"/>
    <w:rsid w:val="005F3CA6"/>
    <w:rsid w:val="005F46F5"/>
    <w:rsid w:val="005F4BB3"/>
    <w:rsid w:val="005F53A7"/>
    <w:rsid w:val="005F559C"/>
    <w:rsid w:val="005F5A4A"/>
    <w:rsid w:val="005F5A4B"/>
    <w:rsid w:val="005F5C77"/>
    <w:rsid w:val="005F696C"/>
    <w:rsid w:val="005F6D9D"/>
    <w:rsid w:val="00600BE7"/>
    <w:rsid w:val="006017F4"/>
    <w:rsid w:val="0060185C"/>
    <w:rsid w:val="006030A6"/>
    <w:rsid w:val="006032C7"/>
    <w:rsid w:val="006053CD"/>
    <w:rsid w:val="00605769"/>
    <w:rsid w:val="00610F7E"/>
    <w:rsid w:val="0061139C"/>
    <w:rsid w:val="00611DCA"/>
    <w:rsid w:val="006139B6"/>
    <w:rsid w:val="006146A4"/>
    <w:rsid w:val="00614C0B"/>
    <w:rsid w:val="0061544F"/>
    <w:rsid w:val="00615683"/>
    <w:rsid w:val="00617266"/>
    <w:rsid w:val="006175EC"/>
    <w:rsid w:val="0061772F"/>
    <w:rsid w:val="006177B2"/>
    <w:rsid w:val="0061787C"/>
    <w:rsid w:val="00617BE4"/>
    <w:rsid w:val="00620D20"/>
    <w:rsid w:val="00621CFD"/>
    <w:rsid w:val="00621ED3"/>
    <w:rsid w:val="00622326"/>
    <w:rsid w:val="0062315A"/>
    <w:rsid w:val="00623513"/>
    <w:rsid w:val="00625AA4"/>
    <w:rsid w:val="00625B30"/>
    <w:rsid w:val="00626827"/>
    <w:rsid w:val="00626F71"/>
    <w:rsid w:val="00630A85"/>
    <w:rsid w:val="00631595"/>
    <w:rsid w:val="006321B1"/>
    <w:rsid w:val="00632260"/>
    <w:rsid w:val="00632640"/>
    <w:rsid w:val="00632C6F"/>
    <w:rsid w:val="006334F7"/>
    <w:rsid w:val="006342D0"/>
    <w:rsid w:val="00635803"/>
    <w:rsid w:val="00635BCD"/>
    <w:rsid w:val="006368C4"/>
    <w:rsid w:val="006379B1"/>
    <w:rsid w:val="00640052"/>
    <w:rsid w:val="006411A3"/>
    <w:rsid w:val="00641A15"/>
    <w:rsid w:val="006427B9"/>
    <w:rsid w:val="00642E92"/>
    <w:rsid w:val="0064350A"/>
    <w:rsid w:val="0064396B"/>
    <w:rsid w:val="00645D67"/>
    <w:rsid w:val="00646B5C"/>
    <w:rsid w:val="00646F7E"/>
    <w:rsid w:val="006475B0"/>
    <w:rsid w:val="006500E6"/>
    <w:rsid w:val="0065149C"/>
    <w:rsid w:val="00651869"/>
    <w:rsid w:val="006521A8"/>
    <w:rsid w:val="00652655"/>
    <w:rsid w:val="006527D5"/>
    <w:rsid w:val="00653760"/>
    <w:rsid w:val="00654828"/>
    <w:rsid w:val="00656882"/>
    <w:rsid w:val="00656A74"/>
    <w:rsid w:val="00656FBF"/>
    <w:rsid w:val="0065785F"/>
    <w:rsid w:val="00657972"/>
    <w:rsid w:val="00657E98"/>
    <w:rsid w:val="0066029E"/>
    <w:rsid w:val="00660B6A"/>
    <w:rsid w:val="00660FCA"/>
    <w:rsid w:val="00661BE0"/>
    <w:rsid w:val="006643CF"/>
    <w:rsid w:val="00664A50"/>
    <w:rsid w:val="00664BC1"/>
    <w:rsid w:val="006654D1"/>
    <w:rsid w:val="00665FD8"/>
    <w:rsid w:val="006666C9"/>
    <w:rsid w:val="0066783F"/>
    <w:rsid w:val="00667DC9"/>
    <w:rsid w:val="00667EDB"/>
    <w:rsid w:val="00670788"/>
    <w:rsid w:val="00671D89"/>
    <w:rsid w:val="00672584"/>
    <w:rsid w:val="00672E24"/>
    <w:rsid w:val="0067422F"/>
    <w:rsid w:val="006753D6"/>
    <w:rsid w:val="006757A3"/>
    <w:rsid w:val="00675987"/>
    <w:rsid w:val="0067725A"/>
    <w:rsid w:val="00677E07"/>
    <w:rsid w:val="00680513"/>
    <w:rsid w:val="0068206D"/>
    <w:rsid w:val="006823C4"/>
    <w:rsid w:val="006823F2"/>
    <w:rsid w:val="00683031"/>
    <w:rsid w:val="0068342A"/>
    <w:rsid w:val="006839EE"/>
    <w:rsid w:val="006854DF"/>
    <w:rsid w:val="00685942"/>
    <w:rsid w:val="0068741F"/>
    <w:rsid w:val="00690174"/>
    <w:rsid w:val="00691A86"/>
    <w:rsid w:val="00692BE6"/>
    <w:rsid w:val="00693063"/>
    <w:rsid w:val="006938E4"/>
    <w:rsid w:val="0069391E"/>
    <w:rsid w:val="00693B50"/>
    <w:rsid w:val="00697AA6"/>
    <w:rsid w:val="00697CDB"/>
    <w:rsid w:val="00697F44"/>
    <w:rsid w:val="006A0629"/>
    <w:rsid w:val="006A3E3F"/>
    <w:rsid w:val="006A4B62"/>
    <w:rsid w:val="006A4C62"/>
    <w:rsid w:val="006A55B1"/>
    <w:rsid w:val="006A6DD6"/>
    <w:rsid w:val="006B04F2"/>
    <w:rsid w:val="006B0AA4"/>
    <w:rsid w:val="006B26DF"/>
    <w:rsid w:val="006B304C"/>
    <w:rsid w:val="006B4926"/>
    <w:rsid w:val="006B4963"/>
    <w:rsid w:val="006B4A98"/>
    <w:rsid w:val="006B50BF"/>
    <w:rsid w:val="006B5DBE"/>
    <w:rsid w:val="006B5E96"/>
    <w:rsid w:val="006B5F31"/>
    <w:rsid w:val="006B7940"/>
    <w:rsid w:val="006B7D5E"/>
    <w:rsid w:val="006C0A77"/>
    <w:rsid w:val="006C1923"/>
    <w:rsid w:val="006C1A79"/>
    <w:rsid w:val="006C1C96"/>
    <w:rsid w:val="006C2619"/>
    <w:rsid w:val="006C2FC7"/>
    <w:rsid w:val="006C57C4"/>
    <w:rsid w:val="006C6FE3"/>
    <w:rsid w:val="006D152D"/>
    <w:rsid w:val="006D24AE"/>
    <w:rsid w:val="006D45A8"/>
    <w:rsid w:val="006D4949"/>
    <w:rsid w:val="006D5131"/>
    <w:rsid w:val="006D5674"/>
    <w:rsid w:val="006D6229"/>
    <w:rsid w:val="006E04A5"/>
    <w:rsid w:val="006E100E"/>
    <w:rsid w:val="006E1252"/>
    <w:rsid w:val="006E3243"/>
    <w:rsid w:val="006E60C1"/>
    <w:rsid w:val="006E6D64"/>
    <w:rsid w:val="006F0536"/>
    <w:rsid w:val="006F0880"/>
    <w:rsid w:val="006F097D"/>
    <w:rsid w:val="006F2334"/>
    <w:rsid w:val="006F29D3"/>
    <w:rsid w:val="006F320A"/>
    <w:rsid w:val="006F3813"/>
    <w:rsid w:val="006F44D3"/>
    <w:rsid w:val="006F54C7"/>
    <w:rsid w:val="006F5EA5"/>
    <w:rsid w:val="0070008D"/>
    <w:rsid w:val="007013ED"/>
    <w:rsid w:val="00703553"/>
    <w:rsid w:val="00703C64"/>
    <w:rsid w:val="0070416A"/>
    <w:rsid w:val="00705859"/>
    <w:rsid w:val="00711228"/>
    <w:rsid w:val="0071171B"/>
    <w:rsid w:val="00712C73"/>
    <w:rsid w:val="0071645A"/>
    <w:rsid w:val="00716D78"/>
    <w:rsid w:val="00720944"/>
    <w:rsid w:val="00720D28"/>
    <w:rsid w:val="007211BB"/>
    <w:rsid w:val="00721CE8"/>
    <w:rsid w:val="00721E7E"/>
    <w:rsid w:val="00722F9F"/>
    <w:rsid w:val="00723F22"/>
    <w:rsid w:val="00726063"/>
    <w:rsid w:val="0072726E"/>
    <w:rsid w:val="007272D9"/>
    <w:rsid w:val="00727A3F"/>
    <w:rsid w:val="00727C11"/>
    <w:rsid w:val="00727D4D"/>
    <w:rsid w:val="00732072"/>
    <w:rsid w:val="0073264D"/>
    <w:rsid w:val="007331E0"/>
    <w:rsid w:val="00733608"/>
    <w:rsid w:val="00733DC4"/>
    <w:rsid w:val="00735B99"/>
    <w:rsid w:val="00736DDE"/>
    <w:rsid w:val="00737528"/>
    <w:rsid w:val="00737B62"/>
    <w:rsid w:val="00741224"/>
    <w:rsid w:val="00741391"/>
    <w:rsid w:val="00742B5C"/>
    <w:rsid w:val="0074367C"/>
    <w:rsid w:val="007437E2"/>
    <w:rsid w:val="00744790"/>
    <w:rsid w:val="00744E27"/>
    <w:rsid w:val="007467D2"/>
    <w:rsid w:val="00747B5F"/>
    <w:rsid w:val="00750771"/>
    <w:rsid w:val="007516DA"/>
    <w:rsid w:val="00752144"/>
    <w:rsid w:val="00752B0F"/>
    <w:rsid w:val="00752EAF"/>
    <w:rsid w:val="007530EA"/>
    <w:rsid w:val="007532D7"/>
    <w:rsid w:val="007541B2"/>
    <w:rsid w:val="00754A6B"/>
    <w:rsid w:val="00754C2A"/>
    <w:rsid w:val="007551C4"/>
    <w:rsid w:val="007558F7"/>
    <w:rsid w:val="00756183"/>
    <w:rsid w:val="007611A8"/>
    <w:rsid w:val="00761822"/>
    <w:rsid w:val="0076225E"/>
    <w:rsid w:val="00762311"/>
    <w:rsid w:val="00764943"/>
    <w:rsid w:val="00764B62"/>
    <w:rsid w:val="00764F93"/>
    <w:rsid w:val="007667B3"/>
    <w:rsid w:val="007708DB"/>
    <w:rsid w:val="0077091F"/>
    <w:rsid w:val="00770BA9"/>
    <w:rsid w:val="00770D15"/>
    <w:rsid w:val="00770E30"/>
    <w:rsid w:val="007713D9"/>
    <w:rsid w:val="00771AFB"/>
    <w:rsid w:val="0077246E"/>
    <w:rsid w:val="00772CAB"/>
    <w:rsid w:val="00772D53"/>
    <w:rsid w:val="007739FF"/>
    <w:rsid w:val="00774B7C"/>
    <w:rsid w:val="00777C15"/>
    <w:rsid w:val="00777F1A"/>
    <w:rsid w:val="00780740"/>
    <w:rsid w:val="0078125B"/>
    <w:rsid w:val="00781833"/>
    <w:rsid w:val="0078201C"/>
    <w:rsid w:val="00782217"/>
    <w:rsid w:val="007824E9"/>
    <w:rsid w:val="0078416C"/>
    <w:rsid w:val="007848C2"/>
    <w:rsid w:val="00784EAD"/>
    <w:rsid w:val="00785911"/>
    <w:rsid w:val="0078619E"/>
    <w:rsid w:val="00786CC8"/>
    <w:rsid w:val="00787A64"/>
    <w:rsid w:val="00790455"/>
    <w:rsid w:val="00791058"/>
    <w:rsid w:val="00791641"/>
    <w:rsid w:val="00791E96"/>
    <w:rsid w:val="0079289E"/>
    <w:rsid w:val="00792E5D"/>
    <w:rsid w:val="00793EB5"/>
    <w:rsid w:val="00794098"/>
    <w:rsid w:val="00795953"/>
    <w:rsid w:val="007973FF"/>
    <w:rsid w:val="007976DD"/>
    <w:rsid w:val="007977A2"/>
    <w:rsid w:val="00797DEE"/>
    <w:rsid w:val="007A0EFB"/>
    <w:rsid w:val="007A12FA"/>
    <w:rsid w:val="007A2181"/>
    <w:rsid w:val="007A29E6"/>
    <w:rsid w:val="007A4D0E"/>
    <w:rsid w:val="007A4FA2"/>
    <w:rsid w:val="007A5FBC"/>
    <w:rsid w:val="007A62AA"/>
    <w:rsid w:val="007A6C82"/>
    <w:rsid w:val="007A6D3E"/>
    <w:rsid w:val="007A7366"/>
    <w:rsid w:val="007A7BF9"/>
    <w:rsid w:val="007B0EAE"/>
    <w:rsid w:val="007B14CE"/>
    <w:rsid w:val="007B2BB9"/>
    <w:rsid w:val="007B60B7"/>
    <w:rsid w:val="007B640C"/>
    <w:rsid w:val="007B6E84"/>
    <w:rsid w:val="007B732B"/>
    <w:rsid w:val="007B7338"/>
    <w:rsid w:val="007B7E58"/>
    <w:rsid w:val="007C1CDB"/>
    <w:rsid w:val="007C1FB0"/>
    <w:rsid w:val="007C1FBE"/>
    <w:rsid w:val="007C2651"/>
    <w:rsid w:val="007C3010"/>
    <w:rsid w:val="007C3ABA"/>
    <w:rsid w:val="007C4591"/>
    <w:rsid w:val="007C4689"/>
    <w:rsid w:val="007C5FAA"/>
    <w:rsid w:val="007D06A7"/>
    <w:rsid w:val="007D2C9A"/>
    <w:rsid w:val="007D336B"/>
    <w:rsid w:val="007D4A24"/>
    <w:rsid w:val="007D4FFA"/>
    <w:rsid w:val="007D56D7"/>
    <w:rsid w:val="007D61CB"/>
    <w:rsid w:val="007D61F7"/>
    <w:rsid w:val="007D64A4"/>
    <w:rsid w:val="007D6CFA"/>
    <w:rsid w:val="007E1345"/>
    <w:rsid w:val="007E24C6"/>
    <w:rsid w:val="007E332D"/>
    <w:rsid w:val="007E37E8"/>
    <w:rsid w:val="007E6456"/>
    <w:rsid w:val="007E6AE8"/>
    <w:rsid w:val="007E7EC9"/>
    <w:rsid w:val="007F147C"/>
    <w:rsid w:val="007F2BDE"/>
    <w:rsid w:val="007F32E8"/>
    <w:rsid w:val="007F3A1E"/>
    <w:rsid w:val="007F4C3A"/>
    <w:rsid w:val="007F56DB"/>
    <w:rsid w:val="007F579F"/>
    <w:rsid w:val="007F6C6C"/>
    <w:rsid w:val="007F7136"/>
    <w:rsid w:val="007F7943"/>
    <w:rsid w:val="008014A5"/>
    <w:rsid w:val="0080168F"/>
    <w:rsid w:val="008020DB"/>
    <w:rsid w:val="00802E19"/>
    <w:rsid w:val="008034A0"/>
    <w:rsid w:val="00805434"/>
    <w:rsid w:val="00806B5D"/>
    <w:rsid w:val="0080701D"/>
    <w:rsid w:val="008113CF"/>
    <w:rsid w:val="00811877"/>
    <w:rsid w:val="00812465"/>
    <w:rsid w:val="0081467B"/>
    <w:rsid w:val="00814FEC"/>
    <w:rsid w:val="00814FF0"/>
    <w:rsid w:val="008151E5"/>
    <w:rsid w:val="0081576C"/>
    <w:rsid w:val="00815EF4"/>
    <w:rsid w:val="008163CB"/>
    <w:rsid w:val="00817147"/>
    <w:rsid w:val="00817667"/>
    <w:rsid w:val="00823AA5"/>
    <w:rsid w:val="008246FE"/>
    <w:rsid w:val="00824737"/>
    <w:rsid w:val="00824C93"/>
    <w:rsid w:val="0082563E"/>
    <w:rsid w:val="00825AEF"/>
    <w:rsid w:val="0082614D"/>
    <w:rsid w:val="0082729F"/>
    <w:rsid w:val="00832276"/>
    <w:rsid w:val="008326B3"/>
    <w:rsid w:val="00832893"/>
    <w:rsid w:val="0083554C"/>
    <w:rsid w:val="008355CB"/>
    <w:rsid w:val="00835C93"/>
    <w:rsid w:val="008367B6"/>
    <w:rsid w:val="00836A26"/>
    <w:rsid w:val="00837C36"/>
    <w:rsid w:val="00840B7C"/>
    <w:rsid w:val="00841E16"/>
    <w:rsid w:val="00842E7A"/>
    <w:rsid w:val="0084520F"/>
    <w:rsid w:val="0084663B"/>
    <w:rsid w:val="00846BA4"/>
    <w:rsid w:val="00847730"/>
    <w:rsid w:val="00847DF1"/>
    <w:rsid w:val="00847E54"/>
    <w:rsid w:val="00850AE1"/>
    <w:rsid w:val="00850BD4"/>
    <w:rsid w:val="0085247E"/>
    <w:rsid w:val="00853314"/>
    <w:rsid w:val="0085474A"/>
    <w:rsid w:val="00854E5A"/>
    <w:rsid w:val="00854F95"/>
    <w:rsid w:val="00855C3A"/>
    <w:rsid w:val="00856456"/>
    <w:rsid w:val="00861E38"/>
    <w:rsid w:val="008628A8"/>
    <w:rsid w:val="00862E55"/>
    <w:rsid w:val="00865715"/>
    <w:rsid w:val="00865783"/>
    <w:rsid w:val="0086752C"/>
    <w:rsid w:val="00867886"/>
    <w:rsid w:val="00870019"/>
    <w:rsid w:val="00874B3D"/>
    <w:rsid w:val="00875B4A"/>
    <w:rsid w:val="00875F79"/>
    <w:rsid w:val="00876EB3"/>
    <w:rsid w:val="00877E08"/>
    <w:rsid w:val="00880289"/>
    <w:rsid w:val="00880407"/>
    <w:rsid w:val="00881490"/>
    <w:rsid w:val="00881575"/>
    <w:rsid w:val="0088196B"/>
    <w:rsid w:val="00881CC6"/>
    <w:rsid w:val="008835AA"/>
    <w:rsid w:val="0088425C"/>
    <w:rsid w:val="008844D6"/>
    <w:rsid w:val="008855CE"/>
    <w:rsid w:val="008859F6"/>
    <w:rsid w:val="0088641B"/>
    <w:rsid w:val="00886C64"/>
    <w:rsid w:val="008903C9"/>
    <w:rsid w:val="00890ABD"/>
    <w:rsid w:val="00890D70"/>
    <w:rsid w:val="00893D26"/>
    <w:rsid w:val="008950D1"/>
    <w:rsid w:val="00895582"/>
    <w:rsid w:val="00896458"/>
    <w:rsid w:val="008A019E"/>
    <w:rsid w:val="008A0B9A"/>
    <w:rsid w:val="008A144E"/>
    <w:rsid w:val="008A1BD8"/>
    <w:rsid w:val="008A3B0F"/>
    <w:rsid w:val="008A406E"/>
    <w:rsid w:val="008A4CD2"/>
    <w:rsid w:val="008A5183"/>
    <w:rsid w:val="008A63C3"/>
    <w:rsid w:val="008A66E0"/>
    <w:rsid w:val="008A7DB2"/>
    <w:rsid w:val="008B048A"/>
    <w:rsid w:val="008B0663"/>
    <w:rsid w:val="008B0DD3"/>
    <w:rsid w:val="008B2231"/>
    <w:rsid w:val="008B3740"/>
    <w:rsid w:val="008B4BFD"/>
    <w:rsid w:val="008B5316"/>
    <w:rsid w:val="008B6636"/>
    <w:rsid w:val="008B6958"/>
    <w:rsid w:val="008C1ECB"/>
    <w:rsid w:val="008C26ED"/>
    <w:rsid w:val="008C3838"/>
    <w:rsid w:val="008C3B75"/>
    <w:rsid w:val="008C438C"/>
    <w:rsid w:val="008C47DF"/>
    <w:rsid w:val="008C4914"/>
    <w:rsid w:val="008C6588"/>
    <w:rsid w:val="008C6FAD"/>
    <w:rsid w:val="008D11AA"/>
    <w:rsid w:val="008D143F"/>
    <w:rsid w:val="008D18C9"/>
    <w:rsid w:val="008D2543"/>
    <w:rsid w:val="008D2C17"/>
    <w:rsid w:val="008D4EA7"/>
    <w:rsid w:val="008D5EA9"/>
    <w:rsid w:val="008D6C7C"/>
    <w:rsid w:val="008E02E2"/>
    <w:rsid w:val="008E195E"/>
    <w:rsid w:val="008E1EB4"/>
    <w:rsid w:val="008E20A4"/>
    <w:rsid w:val="008E2EFA"/>
    <w:rsid w:val="008E33E1"/>
    <w:rsid w:val="008E359F"/>
    <w:rsid w:val="008E50C9"/>
    <w:rsid w:val="008E575D"/>
    <w:rsid w:val="008E632C"/>
    <w:rsid w:val="008F046F"/>
    <w:rsid w:val="008F2664"/>
    <w:rsid w:val="008F2EF6"/>
    <w:rsid w:val="008F3292"/>
    <w:rsid w:val="008F36B7"/>
    <w:rsid w:val="008F383A"/>
    <w:rsid w:val="008F3FFD"/>
    <w:rsid w:val="008F488A"/>
    <w:rsid w:val="008F6DBB"/>
    <w:rsid w:val="008F6F0D"/>
    <w:rsid w:val="008F7F02"/>
    <w:rsid w:val="0090040C"/>
    <w:rsid w:val="00900EAD"/>
    <w:rsid w:val="00900F2A"/>
    <w:rsid w:val="0090222D"/>
    <w:rsid w:val="009022E7"/>
    <w:rsid w:val="00903D0C"/>
    <w:rsid w:val="00903EB0"/>
    <w:rsid w:val="00904F44"/>
    <w:rsid w:val="0090543C"/>
    <w:rsid w:val="00905D31"/>
    <w:rsid w:val="0090744F"/>
    <w:rsid w:val="0090778E"/>
    <w:rsid w:val="009078E4"/>
    <w:rsid w:val="00910189"/>
    <w:rsid w:val="0091126D"/>
    <w:rsid w:val="00911E87"/>
    <w:rsid w:val="00913E2D"/>
    <w:rsid w:val="00913F8F"/>
    <w:rsid w:val="009144F7"/>
    <w:rsid w:val="0091567B"/>
    <w:rsid w:val="00915E02"/>
    <w:rsid w:val="0091616E"/>
    <w:rsid w:val="0092046C"/>
    <w:rsid w:val="009209E8"/>
    <w:rsid w:val="00921193"/>
    <w:rsid w:val="009212C7"/>
    <w:rsid w:val="00921B96"/>
    <w:rsid w:val="00922FC8"/>
    <w:rsid w:val="009262A2"/>
    <w:rsid w:val="00926C3E"/>
    <w:rsid w:val="00927899"/>
    <w:rsid w:val="00930A28"/>
    <w:rsid w:val="00933427"/>
    <w:rsid w:val="009349F3"/>
    <w:rsid w:val="00935305"/>
    <w:rsid w:val="009355A1"/>
    <w:rsid w:val="009356EC"/>
    <w:rsid w:val="0093582B"/>
    <w:rsid w:val="00936542"/>
    <w:rsid w:val="009367E5"/>
    <w:rsid w:val="00941C61"/>
    <w:rsid w:val="00942106"/>
    <w:rsid w:val="009426F9"/>
    <w:rsid w:val="009429F0"/>
    <w:rsid w:val="00944833"/>
    <w:rsid w:val="00944CCC"/>
    <w:rsid w:val="00945AFF"/>
    <w:rsid w:val="00945F69"/>
    <w:rsid w:val="00946660"/>
    <w:rsid w:val="009500B4"/>
    <w:rsid w:val="00950646"/>
    <w:rsid w:val="00950A11"/>
    <w:rsid w:val="00950D02"/>
    <w:rsid w:val="0095128C"/>
    <w:rsid w:val="00951F98"/>
    <w:rsid w:val="00952C94"/>
    <w:rsid w:val="00953E9E"/>
    <w:rsid w:val="00956E37"/>
    <w:rsid w:val="00963B36"/>
    <w:rsid w:val="009648A7"/>
    <w:rsid w:val="009667E4"/>
    <w:rsid w:val="00966A7A"/>
    <w:rsid w:val="00967D96"/>
    <w:rsid w:val="009718AC"/>
    <w:rsid w:val="00971DBD"/>
    <w:rsid w:val="00972934"/>
    <w:rsid w:val="00972F58"/>
    <w:rsid w:val="0097473B"/>
    <w:rsid w:val="00974EDB"/>
    <w:rsid w:val="009767F8"/>
    <w:rsid w:val="009777DB"/>
    <w:rsid w:val="009800E9"/>
    <w:rsid w:val="0098055C"/>
    <w:rsid w:val="0098143A"/>
    <w:rsid w:val="00981DFC"/>
    <w:rsid w:val="00982933"/>
    <w:rsid w:val="009838F3"/>
    <w:rsid w:val="009848E2"/>
    <w:rsid w:val="009852A7"/>
    <w:rsid w:val="009858FF"/>
    <w:rsid w:val="009862AA"/>
    <w:rsid w:val="00986BD3"/>
    <w:rsid w:val="00987223"/>
    <w:rsid w:val="0099083A"/>
    <w:rsid w:val="00992C81"/>
    <w:rsid w:val="00993251"/>
    <w:rsid w:val="00993337"/>
    <w:rsid w:val="00994214"/>
    <w:rsid w:val="0099559E"/>
    <w:rsid w:val="00995C4D"/>
    <w:rsid w:val="00997316"/>
    <w:rsid w:val="009A09DE"/>
    <w:rsid w:val="009A0F2D"/>
    <w:rsid w:val="009A1CFA"/>
    <w:rsid w:val="009A2695"/>
    <w:rsid w:val="009A3913"/>
    <w:rsid w:val="009A4455"/>
    <w:rsid w:val="009A5099"/>
    <w:rsid w:val="009A7593"/>
    <w:rsid w:val="009B02FE"/>
    <w:rsid w:val="009B0C46"/>
    <w:rsid w:val="009B37EF"/>
    <w:rsid w:val="009B40D2"/>
    <w:rsid w:val="009B479A"/>
    <w:rsid w:val="009B4A55"/>
    <w:rsid w:val="009B5AEE"/>
    <w:rsid w:val="009B6540"/>
    <w:rsid w:val="009B6BB2"/>
    <w:rsid w:val="009B6F83"/>
    <w:rsid w:val="009C331B"/>
    <w:rsid w:val="009C43EA"/>
    <w:rsid w:val="009C4689"/>
    <w:rsid w:val="009C6A4C"/>
    <w:rsid w:val="009C6E74"/>
    <w:rsid w:val="009C76D3"/>
    <w:rsid w:val="009D0324"/>
    <w:rsid w:val="009D04D7"/>
    <w:rsid w:val="009D297C"/>
    <w:rsid w:val="009D2D96"/>
    <w:rsid w:val="009D58C5"/>
    <w:rsid w:val="009D6178"/>
    <w:rsid w:val="009D68D3"/>
    <w:rsid w:val="009D7212"/>
    <w:rsid w:val="009D75E9"/>
    <w:rsid w:val="009E035F"/>
    <w:rsid w:val="009E04F3"/>
    <w:rsid w:val="009E268B"/>
    <w:rsid w:val="009E2DC3"/>
    <w:rsid w:val="009E404E"/>
    <w:rsid w:val="009E4752"/>
    <w:rsid w:val="009E595D"/>
    <w:rsid w:val="009E6B8F"/>
    <w:rsid w:val="009E7C5D"/>
    <w:rsid w:val="009F0465"/>
    <w:rsid w:val="009F195A"/>
    <w:rsid w:val="009F2987"/>
    <w:rsid w:val="009F2CC2"/>
    <w:rsid w:val="009F3EF5"/>
    <w:rsid w:val="009F6AC9"/>
    <w:rsid w:val="009F6F4E"/>
    <w:rsid w:val="009F707B"/>
    <w:rsid w:val="00A004ED"/>
    <w:rsid w:val="00A00EE1"/>
    <w:rsid w:val="00A01798"/>
    <w:rsid w:val="00A02811"/>
    <w:rsid w:val="00A03E32"/>
    <w:rsid w:val="00A04ABD"/>
    <w:rsid w:val="00A04D78"/>
    <w:rsid w:val="00A05540"/>
    <w:rsid w:val="00A07F56"/>
    <w:rsid w:val="00A120C5"/>
    <w:rsid w:val="00A12534"/>
    <w:rsid w:val="00A12F58"/>
    <w:rsid w:val="00A13AF5"/>
    <w:rsid w:val="00A149FB"/>
    <w:rsid w:val="00A1584E"/>
    <w:rsid w:val="00A1653E"/>
    <w:rsid w:val="00A176FB"/>
    <w:rsid w:val="00A17D65"/>
    <w:rsid w:val="00A20561"/>
    <w:rsid w:val="00A205F2"/>
    <w:rsid w:val="00A21B64"/>
    <w:rsid w:val="00A238D2"/>
    <w:rsid w:val="00A244B9"/>
    <w:rsid w:val="00A24D14"/>
    <w:rsid w:val="00A25491"/>
    <w:rsid w:val="00A25EA9"/>
    <w:rsid w:val="00A25F77"/>
    <w:rsid w:val="00A277CC"/>
    <w:rsid w:val="00A3129F"/>
    <w:rsid w:val="00A315FE"/>
    <w:rsid w:val="00A3227E"/>
    <w:rsid w:val="00A32632"/>
    <w:rsid w:val="00A32B16"/>
    <w:rsid w:val="00A33B3B"/>
    <w:rsid w:val="00A34B97"/>
    <w:rsid w:val="00A36DA0"/>
    <w:rsid w:val="00A37883"/>
    <w:rsid w:val="00A40DE2"/>
    <w:rsid w:val="00A40E6B"/>
    <w:rsid w:val="00A41C76"/>
    <w:rsid w:val="00A42C70"/>
    <w:rsid w:val="00A43711"/>
    <w:rsid w:val="00A439C3"/>
    <w:rsid w:val="00A44180"/>
    <w:rsid w:val="00A45915"/>
    <w:rsid w:val="00A459C3"/>
    <w:rsid w:val="00A45CB4"/>
    <w:rsid w:val="00A46A60"/>
    <w:rsid w:val="00A50950"/>
    <w:rsid w:val="00A52865"/>
    <w:rsid w:val="00A5366D"/>
    <w:rsid w:val="00A5487B"/>
    <w:rsid w:val="00A54E83"/>
    <w:rsid w:val="00A556D8"/>
    <w:rsid w:val="00A55A42"/>
    <w:rsid w:val="00A56DCB"/>
    <w:rsid w:val="00A62D46"/>
    <w:rsid w:val="00A62D8B"/>
    <w:rsid w:val="00A6316C"/>
    <w:rsid w:val="00A65FAA"/>
    <w:rsid w:val="00A67B03"/>
    <w:rsid w:val="00A717EE"/>
    <w:rsid w:val="00A7181E"/>
    <w:rsid w:val="00A72590"/>
    <w:rsid w:val="00A72943"/>
    <w:rsid w:val="00A72FC3"/>
    <w:rsid w:val="00A7559C"/>
    <w:rsid w:val="00A75697"/>
    <w:rsid w:val="00A75745"/>
    <w:rsid w:val="00A75E8A"/>
    <w:rsid w:val="00A76F71"/>
    <w:rsid w:val="00A77802"/>
    <w:rsid w:val="00A81123"/>
    <w:rsid w:val="00A8314B"/>
    <w:rsid w:val="00A83938"/>
    <w:rsid w:val="00A83BE2"/>
    <w:rsid w:val="00A840E7"/>
    <w:rsid w:val="00A84ACA"/>
    <w:rsid w:val="00A850FA"/>
    <w:rsid w:val="00A85C63"/>
    <w:rsid w:val="00A86086"/>
    <w:rsid w:val="00A860B6"/>
    <w:rsid w:val="00A86D4D"/>
    <w:rsid w:val="00A87262"/>
    <w:rsid w:val="00A8784B"/>
    <w:rsid w:val="00A909C6"/>
    <w:rsid w:val="00A90FA2"/>
    <w:rsid w:val="00A92319"/>
    <w:rsid w:val="00A92485"/>
    <w:rsid w:val="00A931FF"/>
    <w:rsid w:val="00A93C2E"/>
    <w:rsid w:val="00A95445"/>
    <w:rsid w:val="00A972DE"/>
    <w:rsid w:val="00A97791"/>
    <w:rsid w:val="00A97CF7"/>
    <w:rsid w:val="00AA0E46"/>
    <w:rsid w:val="00AA1E69"/>
    <w:rsid w:val="00AA2284"/>
    <w:rsid w:val="00AA2CB4"/>
    <w:rsid w:val="00AA3ACC"/>
    <w:rsid w:val="00AA3D67"/>
    <w:rsid w:val="00AA54FA"/>
    <w:rsid w:val="00AA5ED9"/>
    <w:rsid w:val="00AA6E54"/>
    <w:rsid w:val="00AB1258"/>
    <w:rsid w:val="00AB1932"/>
    <w:rsid w:val="00AB1D0C"/>
    <w:rsid w:val="00AB1E19"/>
    <w:rsid w:val="00AB2899"/>
    <w:rsid w:val="00AB2FD4"/>
    <w:rsid w:val="00AB320F"/>
    <w:rsid w:val="00AB33A3"/>
    <w:rsid w:val="00AB450F"/>
    <w:rsid w:val="00AB51E4"/>
    <w:rsid w:val="00AB5231"/>
    <w:rsid w:val="00AB563F"/>
    <w:rsid w:val="00AB64F8"/>
    <w:rsid w:val="00AB66B7"/>
    <w:rsid w:val="00AC0850"/>
    <w:rsid w:val="00AC1137"/>
    <w:rsid w:val="00AC18C5"/>
    <w:rsid w:val="00AC2ADD"/>
    <w:rsid w:val="00AC2D1F"/>
    <w:rsid w:val="00AC336F"/>
    <w:rsid w:val="00AC3D4A"/>
    <w:rsid w:val="00AC4C06"/>
    <w:rsid w:val="00AC55B5"/>
    <w:rsid w:val="00AD06B6"/>
    <w:rsid w:val="00AD0CDF"/>
    <w:rsid w:val="00AD0D8D"/>
    <w:rsid w:val="00AD1D76"/>
    <w:rsid w:val="00AD2137"/>
    <w:rsid w:val="00AD26C4"/>
    <w:rsid w:val="00AD28B5"/>
    <w:rsid w:val="00AD2CDE"/>
    <w:rsid w:val="00AD389D"/>
    <w:rsid w:val="00AD45FC"/>
    <w:rsid w:val="00AD5738"/>
    <w:rsid w:val="00AD6433"/>
    <w:rsid w:val="00AE016A"/>
    <w:rsid w:val="00AE0C8A"/>
    <w:rsid w:val="00AE10D4"/>
    <w:rsid w:val="00AE24DE"/>
    <w:rsid w:val="00AE2566"/>
    <w:rsid w:val="00AE3C92"/>
    <w:rsid w:val="00AE3D95"/>
    <w:rsid w:val="00AE41F1"/>
    <w:rsid w:val="00AE4B1B"/>
    <w:rsid w:val="00AE5FB5"/>
    <w:rsid w:val="00AE650D"/>
    <w:rsid w:val="00AE69D2"/>
    <w:rsid w:val="00AE6D3C"/>
    <w:rsid w:val="00AE77A0"/>
    <w:rsid w:val="00AE78DE"/>
    <w:rsid w:val="00AF14D8"/>
    <w:rsid w:val="00AF3152"/>
    <w:rsid w:val="00AF3222"/>
    <w:rsid w:val="00AF75DA"/>
    <w:rsid w:val="00B00742"/>
    <w:rsid w:val="00B01E94"/>
    <w:rsid w:val="00B02428"/>
    <w:rsid w:val="00B0634F"/>
    <w:rsid w:val="00B0772B"/>
    <w:rsid w:val="00B07E5D"/>
    <w:rsid w:val="00B1052B"/>
    <w:rsid w:val="00B10860"/>
    <w:rsid w:val="00B10C13"/>
    <w:rsid w:val="00B1181C"/>
    <w:rsid w:val="00B11DF6"/>
    <w:rsid w:val="00B11E77"/>
    <w:rsid w:val="00B12141"/>
    <w:rsid w:val="00B12B52"/>
    <w:rsid w:val="00B13248"/>
    <w:rsid w:val="00B13332"/>
    <w:rsid w:val="00B133D8"/>
    <w:rsid w:val="00B13C7C"/>
    <w:rsid w:val="00B13E09"/>
    <w:rsid w:val="00B145E5"/>
    <w:rsid w:val="00B16B58"/>
    <w:rsid w:val="00B224B6"/>
    <w:rsid w:val="00B22DDA"/>
    <w:rsid w:val="00B23430"/>
    <w:rsid w:val="00B244D4"/>
    <w:rsid w:val="00B25EBB"/>
    <w:rsid w:val="00B26C31"/>
    <w:rsid w:val="00B26D35"/>
    <w:rsid w:val="00B27AAD"/>
    <w:rsid w:val="00B32150"/>
    <w:rsid w:val="00B35E01"/>
    <w:rsid w:val="00B41137"/>
    <w:rsid w:val="00B41239"/>
    <w:rsid w:val="00B41D2D"/>
    <w:rsid w:val="00B43371"/>
    <w:rsid w:val="00B43807"/>
    <w:rsid w:val="00B43C41"/>
    <w:rsid w:val="00B45E2A"/>
    <w:rsid w:val="00B47C23"/>
    <w:rsid w:val="00B50029"/>
    <w:rsid w:val="00B50089"/>
    <w:rsid w:val="00B50A18"/>
    <w:rsid w:val="00B53223"/>
    <w:rsid w:val="00B53471"/>
    <w:rsid w:val="00B53D98"/>
    <w:rsid w:val="00B551BB"/>
    <w:rsid w:val="00B5607F"/>
    <w:rsid w:val="00B561B9"/>
    <w:rsid w:val="00B570E1"/>
    <w:rsid w:val="00B5743B"/>
    <w:rsid w:val="00B575B7"/>
    <w:rsid w:val="00B6085F"/>
    <w:rsid w:val="00B612EE"/>
    <w:rsid w:val="00B63661"/>
    <w:rsid w:val="00B63719"/>
    <w:rsid w:val="00B64038"/>
    <w:rsid w:val="00B6541A"/>
    <w:rsid w:val="00B676B2"/>
    <w:rsid w:val="00B67CE4"/>
    <w:rsid w:val="00B67DF0"/>
    <w:rsid w:val="00B7067B"/>
    <w:rsid w:val="00B70B5D"/>
    <w:rsid w:val="00B74FC0"/>
    <w:rsid w:val="00B75B5E"/>
    <w:rsid w:val="00B83B34"/>
    <w:rsid w:val="00B86642"/>
    <w:rsid w:val="00B8771F"/>
    <w:rsid w:val="00B87CCD"/>
    <w:rsid w:val="00B90965"/>
    <w:rsid w:val="00B90D86"/>
    <w:rsid w:val="00B9115B"/>
    <w:rsid w:val="00B914CA"/>
    <w:rsid w:val="00B929C8"/>
    <w:rsid w:val="00B929F9"/>
    <w:rsid w:val="00B947F9"/>
    <w:rsid w:val="00B94EEA"/>
    <w:rsid w:val="00B9546F"/>
    <w:rsid w:val="00B960D7"/>
    <w:rsid w:val="00B96849"/>
    <w:rsid w:val="00B96D6F"/>
    <w:rsid w:val="00B97943"/>
    <w:rsid w:val="00BA1DA3"/>
    <w:rsid w:val="00BA1F6F"/>
    <w:rsid w:val="00BA3EE4"/>
    <w:rsid w:val="00BA3FC0"/>
    <w:rsid w:val="00BB14D3"/>
    <w:rsid w:val="00BB250A"/>
    <w:rsid w:val="00BB2A3A"/>
    <w:rsid w:val="00BB2FC8"/>
    <w:rsid w:val="00BB3683"/>
    <w:rsid w:val="00BB4169"/>
    <w:rsid w:val="00BB4ED4"/>
    <w:rsid w:val="00BB5286"/>
    <w:rsid w:val="00BB5D94"/>
    <w:rsid w:val="00BB62A2"/>
    <w:rsid w:val="00BB6852"/>
    <w:rsid w:val="00BB7B38"/>
    <w:rsid w:val="00BC0313"/>
    <w:rsid w:val="00BC0DDB"/>
    <w:rsid w:val="00BC184E"/>
    <w:rsid w:val="00BC2532"/>
    <w:rsid w:val="00BC2788"/>
    <w:rsid w:val="00BC3914"/>
    <w:rsid w:val="00BC3F76"/>
    <w:rsid w:val="00BC3FF0"/>
    <w:rsid w:val="00BC503F"/>
    <w:rsid w:val="00BC564D"/>
    <w:rsid w:val="00BC5C31"/>
    <w:rsid w:val="00BC5CB5"/>
    <w:rsid w:val="00BC6F6C"/>
    <w:rsid w:val="00BC7058"/>
    <w:rsid w:val="00BC7620"/>
    <w:rsid w:val="00BD2213"/>
    <w:rsid w:val="00BD2597"/>
    <w:rsid w:val="00BD266F"/>
    <w:rsid w:val="00BD30CB"/>
    <w:rsid w:val="00BD37C9"/>
    <w:rsid w:val="00BD42E0"/>
    <w:rsid w:val="00BD55F9"/>
    <w:rsid w:val="00BD56A2"/>
    <w:rsid w:val="00BD5CBA"/>
    <w:rsid w:val="00BD68E4"/>
    <w:rsid w:val="00BD6C99"/>
    <w:rsid w:val="00BD770A"/>
    <w:rsid w:val="00BE00D6"/>
    <w:rsid w:val="00BE1F53"/>
    <w:rsid w:val="00BE2CC6"/>
    <w:rsid w:val="00BE303D"/>
    <w:rsid w:val="00BE3FC7"/>
    <w:rsid w:val="00BE51E2"/>
    <w:rsid w:val="00BE57CA"/>
    <w:rsid w:val="00BE5CE6"/>
    <w:rsid w:val="00BE5EDB"/>
    <w:rsid w:val="00BE731B"/>
    <w:rsid w:val="00BE7DD9"/>
    <w:rsid w:val="00BE7E41"/>
    <w:rsid w:val="00BF1768"/>
    <w:rsid w:val="00BF2387"/>
    <w:rsid w:val="00BF2395"/>
    <w:rsid w:val="00BF436B"/>
    <w:rsid w:val="00BF6672"/>
    <w:rsid w:val="00BF6E9F"/>
    <w:rsid w:val="00BF7A6D"/>
    <w:rsid w:val="00C00B87"/>
    <w:rsid w:val="00C01666"/>
    <w:rsid w:val="00C03D8F"/>
    <w:rsid w:val="00C05F05"/>
    <w:rsid w:val="00C05FF9"/>
    <w:rsid w:val="00C06634"/>
    <w:rsid w:val="00C068BA"/>
    <w:rsid w:val="00C079C9"/>
    <w:rsid w:val="00C07E06"/>
    <w:rsid w:val="00C109C5"/>
    <w:rsid w:val="00C10AB3"/>
    <w:rsid w:val="00C10F36"/>
    <w:rsid w:val="00C112E3"/>
    <w:rsid w:val="00C11649"/>
    <w:rsid w:val="00C11C32"/>
    <w:rsid w:val="00C1268B"/>
    <w:rsid w:val="00C142F5"/>
    <w:rsid w:val="00C1460E"/>
    <w:rsid w:val="00C16FC1"/>
    <w:rsid w:val="00C177FC"/>
    <w:rsid w:val="00C17B44"/>
    <w:rsid w:val="00C224F6"/>
    <w:rsid w:val="00C23011"/>
    <w:rsid w:val="00C23370"/>
    <w:rsid w:val="00C2643C"/>
    <w:rsid w:val="00C30181"/>
    <w:rsid w:val="00C31318"/>
    <w:rsid w:val="00C31ABE"/>
    <w:rsid w:val="00C31D24"/>
    <w:rsid w:val="00C32D97"/>
    <w:rsid w:val="00C33337"/>
    <w:rsid w:val="00C3344E"/>
    <w:rsid w:val="00C33771"/>
    <w:rsid w:val="00C339DE"/>
    <w:rsid w:val="00C33EDA"/>
    <w:rsid w:val="00C34185"/>
    <w:rsid w:val="00C34AB1"/>
    <w:rsid w:val="00C354AA"/>
    <w:rsid w:val="00C35628"/>
    <w:rsid w:val="00C36CD5"/>
    <w:rsid w:val="00C40353"/>
    <w:rsid w:val="00C4070F"/>
    <w:rsid w:val="00C418A6"/>
    <w:rsid w:val="00C41974"/>
    <w:rsid w:val="00C4255E"/>
    <w:rsid w:val="00C42A79"/>
    <w:rsid w:val="00C43FBA"/>
    <w:rsid w:val="00C443B8"/>
    <w:rsid w:val="00C45905"/>
    <w:rsid w:val="00C45EB0"/>
    <w:rsid w:val="00C470E0"/>
    <w:rsid w:val="00C5068E"/>
    <w:rsid w:val="00C50790"/>
    <w:rsid w:val="00C5186B"/>
    <w:rsid w:val="00C5218A"/>
    <w:rsid w:val="00C5288E"/>
    <w:rsid w:val="00C54CAC"/>
    <w:rsid w:val="00C55C19"/>
    <w:rsid w:val="00C56167"/>
    <w:rsid w:val="00C5749F"/>
    <w:rsid w:val="00C57CD0"/>
    <w:rsid w:val="00C60038"/>
    <w:rsid w:val="00C6128A"/>
    <w:rsid w:val="00C61ECA"/>
    <w:rsid w:val="00C61ED0"/>
    <w:rsid w:val="00C63038"/>
    <w:rsid w:val="00C6312B"/>
    <w:rsid w:val="00C6384A"/>
    <w:rsid w:val="00C652D2"/>
    <w:rsid w:val="00C655A6"/>
    <w:rsid w:val="00C657C8"/>
    <w:rsid w:val="00C666AB"/>
    <w:rsid w:val="00C7001F"/>
    <w:rsid w:val="00C707B2"/>
    <w:rsid w:val="00C7093E"/>
    <w:rsid w:val="00C71078"/>
    <w:rsid w:val="00C72072"/>
    <w:rsid w:val="00C724FD"/>
    <w:rsid w:val="00C73F02"/>
    <w:rsid w:val="00C748E1"/>
    <w:rsid w:val="00C760AC"/>
    <w:rsid w:val="00C80131"/>
    <w:rsid w:val="00C804C5"/>
    <w:rsid w:val="00C807BD"/>
    <w:rsid w:val="00C80F14"/>
    <w:rsid w:val="00C811FA"/>
    <w:rsid w:val="00C817C4"/>
    <w:rsid w:val="00C81961"/>
    <w:rsid w:val="00C824ED"/>
    <w:rsid w:val="00C829A2"/>
    <w:rsid w:val="00C847A4"/>
    <w:rsid w:val="00C84D2A"/>
    <w:rsid w:val="00C86FAE"/>
    <w:rsid w:val="00C87C26"/>
    <w:rsid w:val="00C925FF"/>
    <w:rsid w:val="00C93978"/>
    <w:rsid w:val="00C9647E"/>
    <w:rsid w:val="00C96EBD"/>
    <w:rsid w:val="00C97008"/>
    <w:rsid w:val="00C97B55"/>
    <w:rsid w:val="00CA0CB6"/>
    <w:rsid w:val="00CA137C"/>
    <w:rsid w:val="00CA1773"/>
    <w:rsid w:val="00CA181E"/>
    <w:rsid w:val="00CA2885"/>
    <w:rsid w:val="00CA2F9B"/>
    <w:rsid w:val="00CA426F"/>
    <w:rsid w:val="00CA4EE8"/>
    <w:rsid w:val="00CA5360"/>
    <w:rsid w:val="00CA6FC9"/>
    <w:rsid w:val="00CB076A"/>
    <w:rsid w:val="00CB0ACE"/>
    <w:rsid w:val="00CB0CC1"/>
    <w:rsid w:val="00CB0E25"/>
    <w:rsid w:val="00CB1485"/>
    <w:rsid w:val="00CB14DF"/>
    <w:rsid w:val="00CB163B"/>
    <w:rsid w:val="00CB2950"/>
    <w:rsid w:val="00CB2D82"/>
    <w:rsid w:val="00CB3412"/>
    <w:rsid w:val="00CB3ED6"/>
    <w:rsid w:val="00CB7C73"/>
    <w:rsid w:val="00CC0B85"/>
    <w:rsid w:val="00CC1866"/>
    <w:rsid w:val="00CC20BC"/>
    <w:rsid w:val="00CC2DB0"/>
    <w:rsid w:val="00CC359B"/>
    <w:rsid w:val="00CC3F2A"/>
    <w:rsid w:val="00CC43ED"/>
    <w:rsid w:val="00CC45C2"/>
    <w:rsid w:val="00CC4648"/>
    <w:rsid w:val="00CC4A8B"/>
    <w:rsid w:val="00CC4B23"/>
    <w:rsid w:val="00CC4E5B"/>
    <w:rsid w:val="00CC52D4"/>
    <w:rsid w:val="00CC5788"/>
    <w:rsid w:val="00CC5D7F"/>
    <w:rsid w:val="00CC7EE7"/>
    <w:rsid w:val="00CD0A76"/>
    <w:rsid w:val="00CD0F1D"/>
    <w:rsid w:val="00CD10E2"/>
    <w:rsid w:val="00CD1BD5"/>
    <w:rsid w:val="00CD2488"/>
    <w:rsid w:val="00CD2B0D"/>
    <w:rsid w:val="00CD2B54"/>
    <w:rsid w:val="00CD2F8B"/>
    <w:rsid w:val="00CD438C"/>
    <w:rsid w:val="00CD605D"/>
    <w:rsid w:val="00CD6554"/>
    <w:rsid w:val="00CD6C8A"/>
    <w:rsid w:val="00CD7EB4"/>
    <w:rsid w:val="00CE0648"/>
    <w:rsid w:val="00CE207A"/>
    <w:rsid w:val="00CE2088"/>
    <w:rsid w:val="00CE2985"/>
    <w:rsid w:val="00CE2EA4"/>
    <w:rsid w:val="00CF076C"/>
    <w:rsid w:val="00CF09BA"/>
    <w:rsid w:val="00CF1337"/>
    <w:rsid w:val="00CF2640"/>
    <w:rsid w:val="00CF283E"/>
    <w:rsid w:val="00CF2C85"/>
    <w:rsid w:val="00CF3901"/>
    <w:rsid w:val="00CF3F34"/>
    <w:rsid w:val="00CF5544"/>
    <w:rsid w:val="00CF5BFA"/>
    <w:rsid w:val="00CF7222"/>
    <w:rsid w:val="00CF7735"/>
    <w:rsid w:val="00CF7894"/>
    <w:rsid w:val="00CF7FCA"/>
    <w:rsid w:val="00D01045"/>
    <w:rsid w:val="00D010A2"/>
    <w:rsid w:val="00D02DA9"/>
    <w:rsid w:val="00D04182"/>
    <w:rsid w:val="00D045EF"/>
    <w:rsid w:val="00D04BD5"/>
    <w:rsid w:val="00D04EAF"/>
    <w:rsid w:val="00D0522A"/>
    <w:rsid w:val="00D06C0F"/>
    <w:rsid w:val="00D06ECD"/>
    <w:rsid w:val="00D076DD"/>
    <w:rsid w:val="00D07F69"/>
    <w:rsid w:val="00D110E5"/>
    <w:rsid w:val="00D11815"/>
    <w:rsid w:val="00D126A0"/>
    <w:rsid w:val="00D12761"/>
    <w:rsid w:val="00D14271"/>
    <w:rsid w:val="00D148B3"/>
    <w:rsid w:val="00D15116"/>
    <w:rsid w:val="00D15810"/>
    <w:rsid w:val="00D16656"/>
    <w:rsid w:val="00D16EE8"/>
    <w:rsid w:val="00D17655"/>
    <w:rsid w:val="00D17FFA"/>
    <w:rsid w:val="00D20C52"/>
    <w:rsid w:val="00D2244C"/>
    <w:rsid w:val="00D23E93"/>
    <w:rsid w:val="00D24047"/>
    <w:rsid w:val="00D25E59"/>
    <w:rsid w:val="00D27F2F"/>
    <w:rsid w:val="00D27F7A"/>
    <w:rsid w:val="00D30EB3"/>
    <w:rsid w:val="00D316D6"/>
    <w:rsid w:val="00D3182C"/>
    <w:rsid w:val="00D328CD"/>
    <w:rsid w:val="00D3388D"/>
    <w:rsid w:val="00D3453B"/>
    <w:rsid w:val="00D34CDF"/>
    <w:rsid w:val="00D360CE"/>
    <w:rsid w:val="00D3720A"/>
    <w:rsid w:val="00D37538"/>
    <w:rsid w:val="00D37987"/>
    <w:rsid w:val="00D37F15"/>
    <w:rsid w:val="00D4129B"/>
    <w:rsid w:val="00D413C2"/>
    <w:rsid w:val="00D41D9C"/>
    <w:rsid w:val="00D4243F"/>
    <w:rsid w:val="00D42AC6"/>
    <w:rsid w:val="00D4302E"/>
    <w:rsid w:val="00D43893"/>
    <w:rsid w:val="00D4394E"/>
    <w:rsid w:val="00D43C57"/>
    <w:rsid w:val="00D43F6D"/>
    <w:rsid w:val="00D4422F"/>
    <w:rsid w:val="00D44FE5"/>
    <w:rsid w:val="00D45240"/>
    <w:rsid w:val="00D45EA2"/>
    <w:rsid w:val="00D47274"/>
    <w:rsid w:val="00D50D7C"/>
    <w:rsid w:val="00D520AD"/>
    <w:rsid w:val="00D52684"/>
    <w:rsid w:val="00D543BF"/>
    <w:rsid w:val="00D546C9"/>
    <w:rsid w:val="00D548D1"/>
    <w:rsid w:val="00D55436"/>
    <w:rsid w:val="00D57BBE"/>
    <w:rsid w:val="00D6094B"/>
    <w:rsid w:val="00D615E1"/>
    <w:rsid w:val="00D615F3"/>
    <w:rsid w:val="00D61947"/>
    <w:rsid w:val="00D61A3F"/>
    <w:rsid w:val="00D61E78"/>
    <w:rsid w:val="00D6241D"/>
    <w:rsid w:val="00D63BB3"/>
    <w:rsid w:val="00D63CD7"/>
    <w:rsid w:val="00D64AEE"/>
    <w:rsid w:val="00D650EE"/>
    <w:rsid w:val="00D657FE"/>
    <w:rsid w:val="00D66932"/>
    <w:rsid w:val="00D67BD1"/>
    <w:rsid w:val="00D7116D"/>
    <w:rsid w:val="00D71459"/>
    <w:rsid w:val="00D71E36"/>
    <w:rsid w:val="00D7289C"/>
    <w:rsid w:val="00D72F45"/>
    <w:rsid w:val="00D737BC"/>
    <w:rsid w:val="00D7393E"/>
    <w:rsid w:val="00D7468B"/>
    <w:rsid w:val="00D76792"/>
    <w:rsid w:val="00D76F39"/>
    <w:rsid w:val="00D77335"/>
    <w:rsid w:val="00D779F3"/>
    <w:rsid w:val="00D77A54"/>
    <w:rsid w:val="00D8044F"/>
    <w:rsid w:val="00D8057B"/>
    <w:rsid w:val="00D813B1"/>
    <w:rsid w:val="00D83694"/>
    <w:rsid w:val="00D83EB9"/>
    <w:rsid w:val="00D860A9"/>
    <w:rsid w:val="00D8733E"/>
    <w:rsid w:val="00D9040A"/>
    <w:rsid w:val="00D904BF"/>
    <w:rsid w:val="00D90BA5"/>
    <w:rsid w:val="00D90F97"/>
    <w:rsid w:val="00D9177E"/>
    <w:rsid w:val="00D93A3A"/>
    <w:rsid w:val="00D94A2F"/>
    <w:rsid w:val="00D96921"/>
    <w:rsid w:val="00D96989"/>
    <w:rsid w:val="00D977D0"/>
    <w:rsid w:val="00DA030D"/>
    <w:rsid w:val="00DA0AA3"/>
    <w:rsid w:val="00DA19A2"/>
    <w:rsid w:val="00DA1F6F"/>
    <w:rsid w:val="00DA2219"/>
    <w:rsid w:val="00DA2B26"/>
    <w:rsid w:val="00DA37D1"/>
    <w:rsid w:val="00DA52CA"/>
    <w:rsid w:val="00DA5ED0"/>
    <w:rsid w:val="00DA69F1"/>
    <w:rsid w:val="00DB034D"/>
    <w:rsid w:val="00DB0527"/>
    <w:rsid w:val="00DB1051"/>
    <w:rsid w:val="00DB273D"/>
    <w:rsid w:val="00DB34F9"/>
    <w:rsid w:val="00DB3A1A"/>
    <w:rsid w:val="00DB3D20"/>
    <w:rsid w:val="00DB3FE0"/>
    <w:rsid w:val="00DB4377"/>
    <w:rsid w:val="00DB4AF6"/>
    <w:rsid w:val="00DB4CBE"/>
    <w:rsid w:val="00DB5F22"/>
    <w:rsid w:val="00DB667E"/>
    <w:rsid w:val="00DB6855"/>
    <w:rsid w:val="00DC0368"/>
    <w:rsid w:val="00DC0580"/>
    <w:rsid w:val="00DC0DF9"/>
    <w:rsid w:val="00DC105A"/>
    <w:rsid w:val="00DC245B"/>
    <w:rsid w:val="00DC30CC"/>
    <w:rsid w:val="00DC3EE9"/>
    <w:rsid w:val="00DC7BBD"/>
    <w:rsid w:val="00DD0B37"/>
    <w:rsid w:val="00DD1A68"/>
    <w:rsid w:val="00DD270D"/>
    <w:rsid w:val="00DD2CB2"/>
    <w:rsid w:val="00DD308C"/>
    <w:rsid w:val="00DD3590"/>
    <w:rsid w:val="00DD4072"/>
    <w:rsid w:val="00DD46EB"/>
    <w:rsid w:val="00DD552C"/>
    <w:rsid w:val="00DD5A12"/>
    <w:rsid w:val="00DD5EB1"/>
    <w:rsid w:val="00DD5F17"/>
    <w:rsid w:val="00DD6E63"/>
    <w:rsid w:val="00DD75C7"/>
    <w:rsid w:val="00DE020F"/>
    <w:rsid w:val="00DE06EA"/>
    <w:rsid w:val="00DE118B"/>
    <w:rsid w:val="00DE181B"/>
    <w:rsid w:val="00DE2620"/>
    <w:rsid w:val="00DE2CDE"/>
    <w:rsid w:val="00DE350C"/>
    <w:rsid w:val="00DE376B"/>
    <w:rsid w:val="00DE39C7"/>
    <w:rsid w:val="00DE40F7"/>
    <w:rsid w:val="00DE58D3"/>
    <w:rsid w:val="00DE6AD8"/>
    <w:rsid w:val="00DE7CEF"/>
    <w:rsid w:val="00DF054C"/>
    <w:rsid w:val="00DF132B"/>
    <w:rsid w:val="00DF3B04"/>
    <w:rsid w:val="00DF56B9"/>
    <w:rsid w:val="00DF5B4D"/>
    <w:rsid w:val="00DF691B"/>
    <w:rsid w:val="00DF6B53"/>
    <w:rsid w:val="00DF7C7C"/>
    <w:rsid w:val="00E014F3"/>
    <w:rsid w:val="00E02240"/>
    <w:rsid w:val="00E02C37"/>
    <w:rsid w:val="00E03094"/>
    <w:rsid w:val="00E0370C"/>
    <w:rsid w:val="00E0402C"/>
    <w:rsid w:val="00E0412E"/>
    <w:rsid w:val="00E048D4"/>
    <w:rsid w:val="00E04C7D"/>
    <w:rsid w:val="00E04C83"/>
    <w:rsid w:val="00E055D4"/>
    <w:rsid w:val="00E05D99"/>
    <w:rsid w:val="00E06764"/>
    <w:rsid w:val="00E0776C"/>
    <w:rsid w:val="00E10038"/>
    <w:rsid w:val="00E10B17"/>
    <w:rsid w:val="00E14664"/>
    <w:rsid w:val="00E15C0D"/>
    <w:rsid w:val="00E15D50"/>
    <w:rsid w:val="00E161CB"/>
    <w:rsid w:val="00E20320"/>
    <w:rsid w:val="00E20F99"/>
    <w:rsid w:val="00E22144"/>
    <w:rsid w:val="00E23135"/>
    <w:rsid w:val="00E24422"/>
    <w:rsid w:val="00E24B4D"/>
    <w:rsid w:val="00E25D15"/>
    <w:rsid w:val="00E271E0"/>
    <w:rsid w:val="00E3055A"/>
    <w:rsid w:val="00E324E2"/>
    <w:rsid w:val="00E332EF"/>
    <w:rsid w:val="00E338D6"/>
    <w:rsid w:val="00E33B3D"/>
    <w:rsid w:val="00E33FCF"/>
    <w:rsid w:val="00E3488C"/>
    <w:rsid w:val="00E35750"/>
    <w:rsid w:val="00E36197"/>
    <w:rsid w:val="00E36F74"/>
    <w:rsid w:val="00E37FBE"/>
    <w:rsid w:val="00E40683"/>
    <w:rsid w:val="00E40CBA"/>
    <w:rsid w:val="00E40D55"/>
    <w:rsid w:val="00E41C17"/>
    <w:rsid w:val="00E41EB5"/>
    <w:rsid w:val="00E42039"/>
    <w:rsid w:val="00E421B3"/>
    <w:rsid w:val="00E44988"/>
    <w:rsid w:val="00E50321"/>
    <w:rsid w:val="00E51D35"/>
    <w:rsid w:val="00E51FAD"/>
    <w:rsid w:val="00E533DC"/>
    <w:rsid w:val="00E53712"/>
    <w:rsid w:val="00E549B0"/>
    <w:rsid w:val="00E54A2D"/>
    <w:rsid w:val="00E55A13"/>
    <w:rsid w:val="00E57755"/>
    <w:rsid w:val="00E60850"/>
    <w:rsid w:val="00E60F72"/>
    <w:rsid w:val="00E62ABB"/>
    <w:rsid w:val="00E642DE"/>
    <w:rsid w:val="00E66111"/>
    <w:rsid w:val="00E66341"/>
    <w:rsid w:val="00E66A42"/>
    <w:rsid w:val="00E72F41"/>
    <w:rsid w:val="00E72FBB"/>
    <w:rsid w:val="00E732D4"/>
    <w:rsid w:val="00E741CA"/>
    <w:rsid w:val="00E74EF8"/>
    <w:rsid w:val="00E7543A"/>
    <w:rsid w:val="00E75BA2"/>
    <w:rsid w:val="00E76171"/>
    <w:rsid w:val="00E828D9"/>
    <w:rsid w:val="00E852FC"/>
    <w:rsid w:val="00E86E50"/>
    <w:rsid w:val="00E92F2E"/>
    <w:rsid w:val="00E94150"/>
    <w:rsid w:val="00E94CED"/>
    <w:rsid w:val="00E95C11"/>
    <w:rsid w:val="00E95E71"/>
    <w:rsid w:val="00E96312"/>
    <w:rsid w:val="00E96F55"/>
    <w:rsid w:val="00EA04A6"/>
    <w:rsid w:val="00EA05FC"/>
    <w:rsid w:val="00EA0A5F"/>
    <w:rsid w:val="00EA0A6E"/>
    <w:rsid w:val="00EA0FF4"/>
    <w:rsid w:val="00EA22B1"/>
    <w:rsid w:val="00EA27ED"/>
    <w:rsid w:val="00EA30F6"/>
    <w:rsid w:val="00EA3E4D"/>
    <w:rsid w:val="00EA462A"/>
    <w:rsid w:val="00EA4DE1"/>
    <w:rsid w:val="00EA4E03"/>
    <w:rsid w:val="00EA51DC"/>
    <w:rsid w:val="00EA619D"/>
    <w:rsid w:val="00EA6771"/>
    <w:rsid w:val="00EA7C54"/>
    <w:rsid w:val="00EB004B"/>
    <w:rsid w:val="00EB1645"/>
    <w:rsid w:val="00EB17BB"/>
    <w:rsid w:val="00EB2923"/>
    <w:rsid w:val="00EB2AA4"/>
    <w:rsid w:val="00EB33DC"/>
    <w:rsid w:val="00EB3DEF"/>
    <w:rsid w:val="00EB4C9F"/>
    <w:rsid w:val="00EB64D2"/>
    <w:rsid w:val="00EC0815"/>
    <w:rsid w:val="00EC0E49"/>
    <w:rsid w:val="00EC11DD"/>
    <w:rsid w:val="00EC3DF7"/>
    <w:rsid w:val="00EC5E9D"/>
    <w:rsid w:val="00EC72EF"/>
    <w:rsid w:val="00EC77C7"/>
    <w:rsid w:val="00ED0E5F"/>
    <w:rsid w:val="00ED1A3D"/>
    <w:rsid w:val="00ED4567"/>
    <w:rsid w:val="00ED5091"/>
    <w:rsid w:val="00EE0A82"/>
    <w:rsid w:val="00EE0AA1"/>
    <w:rsid w:val="00EE13F9"/>
    <w:rsid w:val="00EE26A3"/>
    <w:rsid w:val="00EE43C2"/>
    <w:rsid w:val="00EE461E"/>
    <w:rsid w:val="00EE4E2E"/>
    <w:rsid w:val="00EE563E"/>
    <w:rsid w:val="00EE5AB6"/>
    <w:rsid w:val="00EE63DB"/>
    <w:rsid w:val="00EE6720"/>
    <w:rsid w:val="00EF2384"/>
    <w:rsid w:val="00EF3671"/>
    <w:rsid w:val="00EF3C03"/>
    <w:rsid w:val="00EF4712"/>
    <w:rsid w:val="00EF518F"/>
    <w:rsid w:val="00EF600C"/>
    <w:rsid w:val="00EF6488"/>
    <w:rsid w:val="00EF6CC9"/>
    <w:rsid w:val="00F00CE3"/>
    <w:rsid w:val="00F016C8"/>
    <w:rsid w:val="00F02652"/>
    <w:rsid w:val="00F02B42"/>
    <w:rsid w:val="00F0320A"/>
    <w:rsid w:val="00F049DB"/>
    <w:rsid w:val="00F05B9D"/>
    <w:rsid w:val="00F07541"/>
    <w:rsid w:val="00F0756B"/>
    <w:rsid w:val="00F10581"/>
    <w:rsid w:val="00F10E91"/>
    <w:rsid w:val="00F113E3"/>
    <w:rsid w:val="00F128F3"/>
    <w:rsid w:val="00F1333A"/>
    <w:rsid w:val="00F13351"/>
    <w:rsid w:val="00F1454C"/>
    <w:rsid w:val="00F15044"/>
    <w:rsid w:val="00F152E7"/>
    <w:rsid w:val="00F1550B"/>
    <w:rsid w:val="00F15A72"/>
    <w:rsid w:val="00F15ED7"/>
    <w:rsid w:val="00F160CD"/>
    <w:rsid w:val="00F16B59"/>
    <w:rsid w:val="00F177A1"/>
    <w:rsid w:val="00F220A1"/>
    <w:rsid w:val="00F24D26"/>
    <w:rsid w:val="00F2514D"/>
    <w:rsid w:val="00F30CBC"/>
    <w:rsid w:val="00F310F6"/>
    <w:rsid w:val="00F311C5"/>
    <w:rsid w:val="00F31676"/>
    <w:rsid w:val="00F317FE"/>
    <w:rsid w:val="00F31A38"/>
    <w:rsid w:val="00F3281E"/>
    <w:rsid w:val="00F33841"/>
    <w:rsid w:val="00F33D92"/>
    <w:rsid w:val="00F34C17"/>
    <w:rsid w:val="00F3523E"/>
    <w:rsid w:val="00F35FB6"/>
    <w:rsid w:val="00F365AA"/>
    <w:rsid w:val="00F36E92"/>
    <w:rsid w:val="00F4385E"/>
    <w:rsid w:val="00F4388B"/>
    <w:rsid w:val="00F448D9"/>
    <w:rsid w:val="00F44C09"/>
    <w:rsid w:val="00F44FE5"/>
    <w:rsid w:val="00F45B2D"/>
    <w:rsid w:val="00F46C2F"/>
    <w:rsid w:val="00F51096"/>
    <w:rsid w:val="00F54090"/>
    <w:rsid w:val="00F547E5"/>
    <w:rsid w:val="00F57793"/>
    <w:rsid w:val="00F61C1F"/>
    <w:rsid w:val="00F6207B"/>
    <w:rsid w:val="00F64EEC"/>
    <w:rsid w:val="00F65117"/>
    <w:rsid w:val="00F6608C"/>
    <w:rsid w:val="00F66422"/>
    <w:rsid w:val="00F666A2"/>
    <w:rsid w:val="00F67167"/>
    <w:rsid w:val="00F70273"/>
    <w:rsid w:val="00F710E3"/>
    <w:rsid w:val="00F7479D"/>
    <w:rsid w:val="00F773A7"/>
    <w:rsid w:val="00F77910"/>
    <w:rsid w:val="00F77F95"/>
    <w:rsid w:val="00F81439"/>
    <w:rsid w:val="00F82924"/>
    <w:rsid w:val="00F83706"/>
    <w:rsid w:val="00F83C4D"/>
    <w:rsid w:val="00F84900"/>
    <w:rsid w:val="00F85333"/>
    <w:rsid w:val="00F85D7E"/>
    <w:rsid w:val="00F85E7D"/>
    <w:rsid w:val="00F86B46"/>
    <w:rsid w:val="00F879A0"/>
    <w:rsid w:val="00F92A61"/>
    <w:rsid w:val="00F92C43"/>
    <w:rsid w:val="00F92F82"/>
    <w:rsid w:val="00F944B8"/>
    <w:rsid w:val="00F9549C"/>
    <w:rsid w:val="00F965DF"/>
    <w:rsid w:val="00F96720"/>
    <w:rsid w:val="00F97992"/>
    <w:rsid w:val="00F97E65"/>
    <w:rsid w:val="00FA00D3"/>
    <w:rsid w:val="00FA0142"/>
    <w:rsid w:val="00FA0418"/>
    <w:rsid w:val="00FA1217"/>
    <w:rsid w:val="00FA1F8F"/>
    <w:rsid w:val="00FA26A0"/>
    <w:rsid w:val="00FA3279"/>
    <w:rsid w:val="00FA3402"/>
    <w:rsid w:val="00FA3AF5"/>
    <w:rsid w:val="00FA3BDB"/>
    <w:rsid w:val="00FA5224"/>
    <w:rsid w:val="00FA5DE4"/>
    <w:rsid w:val="00FA7339"/>
    <w:rsid w:val="00FA786A"/>
    <w:rsid w:val="00FA7AE9"/>
    <w:rsid w:val="00FA7EEE"/>
    <w:rsid w:val="00FB0025"/>
    <w:rsid w:val="00FB0448"/>
    <w:rsid w:val="00FB0AEC"/>
    <w:rsid w:val="00FB1671"/>
    <w:rsid w:val="00FB1A13"/>
    <w:rsid w:val="00FB1D1F"/>
    <w:rsid w:val="00FB256B"/>
    <w:rsid w:val="00FB26F1"/>
    <w:rsid w:val="00FB37AE"/>
    <w:rsid w:val="00FB530A"/>
    <w:rsid w:val="00FB6B58"/>
    <w:rsid w:val="00FB6C27"/>
    <w:rsid w:val="00FB6C57"/>
    <w:rsid w:val="00FB6CC9"/>
    <w:rsid w:val="00FB708A"/>
    <w:rsid w:val="00FB7275"/>
    <w:rsid w:val="00FC1A18"/>
    <w:rsid w:val="00FC25A4"/>
    <w:rsid w:val="00FC3A0D"/>
    <w:rsid w:val="00FC408F"/>
    <w:rsid w:val="00FC4A90"/>
    <w:rsid w:val="00FC5B5E"/>
    <w:rsid w:val="00FC6B12"/>
    <w:rsid w:val="00FC7A8F"/>
    <w:rsid w:val="00FC7FCF"/>
    <w:rsid w:val="00FD0ECC"/>
    <w:rsid w:val="00FD16F1"/>
    <w:rsid w:val="00FD1845"/>
    <w:rsid w:val="00FD2125"/>
    <w:rsid w:val="00FD3065"/>
    <w:rsid w:val="00FD5BDB"/>
    <w:rsid w:val="00FD6E0B"/>
    <w:rsid w:val="00FD7CE8"/>
    <w:rsid w:val="00FE08CF"/>
    <w:rsid w:val="00FE0BF6"/>
    <w:rsid w:val="00FE0CB5"/>
    <w:rsid w:val="00FE119F"/>
    <w:rsid w:val="00FE1EE3"/>
    <w:rsid w:val="00FE2C3F"/>
    <w:rsid w:val="00FE35A0"/>
    <w:rsid w:val="00FE40A2"/>
    <w:rsid w:val="00FE4A04"/>
    <w:rsid w:val="00FE5DDA"/>
    <w:rsid w:val="00FE6401"/>
    <w:rsid w:val="00FE7212"/>
    <w:rsid w:val="00FE791B"/>
    <w:rsid w:val="00FE7CD2"/>
    <w:rsid w:val="00FF00D7"/>
    <w:rsid w:val="00FF27FD"/>
    <w:rsid w:val="00FF28CA"/>
    <w:rsid w:val="00FF30D0"/>
    <w:rsid w:val="00FF37E2"/>
    <w:rsid w:val="00FF3CA8"/>
    <w:rsid w:val="00FF3E7B"/>
    <w:rsid w:val="00FF47BC"/>
    <w:rsid w:val="00FF4C5F"/>
    <w:rsid w:val="00FF4EA3"/>
    <w:rsid w:val="00FF4ECF"/>
    <w:rsid w:val="00FF57EF"/>
    <w:rsid w:val="00FF5834"/>
    <w:rsid w:val="00FF5D23"/>
    <w:rsid w:val="00FF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101FB"/>
  <w15:docId w15:val="{4F81E3B6-267D-4287-ADDA-3B9B48F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9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115"/>
    <w:pPr>
      <w:tabs>
        <w:tab w:val="center" w:pos="4320"/>
        <w:tab w:val="right" w:pos="8640"/>
      </w:tabs>
    </w:pPr>
  </w:style>
  <w:style w:type="paragraph" w:styleId="Footer">
    <w:name w:val="footer"/>
    <w:basedOn w:val="Normal"/>
    <w:rsid w:val="00573115"/>
    <w:pPr>
      <w:tabs>
        <w:tab w:val="center" w:pos="4320"/>
        <w:tab w:val="right" w:pos="8640"/>
      </w:tabs>
    </w:pPr>
  </w:style>
  <w:style w:type="paragraph" w:styleId="BalloonText">
    <w:name w:val="Balloon Text"/>
    <w:basedOn w:val="Normal"/>
    <w:semiHidden/>
    <w:rsid w:val="00573115"/>
    <w:rPr>
      <w:rFonts w:ascii="Tahoma" w:hAnsi="Tahoma" w:cs="Tahoma"/>
      <w:sz w:val="16"/>
      <w:szCs w:val="16"/>
    </w:rPr>
  </w:style>
  <w:style w:type="character" w:styleId="CommentReference">
    <w:name w:val="annotation reference"/>
    <w:semiHidden/>
    <w:rsid w:val="00547F27"/>
    <w:rPr>
      <w:sz w:val="16"/>
      <w:szCs w:val="16"/>
    </w:rPr>
  </w:style>
  <w:style w:type="paragraph" w:styleId="CommentText">
    <w:name w:val="annotation text"/>
    <w:basedOn w:val="Normal"/>
    <w:semiHidden/>
    <w:rsid w:val="00547F27"/>
    <w:rPr>
      <w:sz w:val="20"/>
      <w:szCs w:val="20"/>
    </w:rPr>
  </w:style>
  <w:style w:type="paragraph" w:styleId="CommentSubject">
    <w:name w:val="annotation subject"/>
    <w:basedOn w:val="CommentText"/>
    <w:next w:val="CommentText"/>
    <w:semiHidden/>
    <w:rsid w:val="00547F27"/>
    <w:rPr>
      <w:b/>
      <w:bCs/>
    </w:rPr>
  </w:style>
  <w:style w:type="character" w:styleId="PageNumber">
    <w:name w:val="page number"/>
    <w:basedOn w:val="DefaultParagraphFont"/>
    <w:rsid w:val="00A3129F"/>
  </w:style>
  <w:style w:type="paragraph" w:styleId="Revision">
    <w:name w:val="Revision"/>
    <w:hidden/>
    <w:uiPriority w:val="99"/>
    <w:semiHidden/>
    <w:rsid w:val="00610F7E"/>
    <w:rPr>
      <w:sz w:val="24"/>
      <w:szCs w:val="24"/>
    </w:rPr>
  </w:style>
  <w:style w:type="character" w:styleId="Hyperlink">
    <w:name w:val="Hyperlink"/>
    <w:uiPriority w:val="99"/>
    <w:unhideWhenUsed/>
    <w:rsid w:val="00904F44"/>
    <w:rPr>
      <w:color w:val="0000FF"/>
      <w:u w:val="single"/>
    </w:rPr>
  </w:style>
  <w:style w:type="paragraph" w:styleId="NormalWeb">
    <w:name w:val="Normal (Web)"/>
    <w:basedOn w:val="Normal"/>
    <w:uiPriority w:val="99"/>
    <w:unhideWhenUsed/>
    <w:rsid w:val="00904F44"/>
    <w:pPr>
      <w:spacing w:before="100" w:beforeAutospacing="1" w:after="100" w:afterAutospacing="1"/>
    </w:pPr>
  </w:style>
  <w:style w:type="paragraph" w:customStyle="1" w:styleId="Default">
    <w:name w:val="Default"/>
    <w:rsid w:val="009D75E9"/>
    <w:pPr>
      <w:autoSpaceDE w:val="0"/>
      <w:autoSpaceDN w:val="0"/>
      <w:adjustRightInd w:val="0"/>
    </w:pPr>
    <w:rPr>
      <w:color w:val="000000"/>
      <w:sz w:val="24"/>
      <w:szCs w:val="24"/>
    </w:rPr>
  </w:style>
  <w:style w:type="paragraph" w:styleId="FootnoteText">
    <w:name w:val="footnote text"/>
    <w:basedOn w:val="Normal"/>
    <w:link w:val="FootnoteTextChar"/>
    <w:rsid w:val="00E014F3"/>
    <w:rPr>
      <w:sz w:val="20"/>
      <w:szCs w:val="20"/>
    </w:rPr>
  </w:style>
  <w:style w:type="character" w:customStyle="1" w:styleId="FootnoteTextChar">
    <w:name w:val="Footnote Text Char"/>
    <w:basedOn w:val="DefaultParagraphFont"/>
    <w:link w:val="FootnoteText"/>
    <w:rsid w:val="00E014F3"/>
  </w:style>
  <w:style w:type="character" w:styleId="FootnoteReference">
    <w:name w:val="footnote reference"/>
    <w:rsid w:val="00E014F3"/>
    <w:rPr>
      <w:vertAlign w:val="superscript"/>
    </w:rPr>
  </w:style>
  <w:style w:type="character" w:customStyle="1" w:styleId="apple-converted-space">
    <w:name w:val="apple-converted-space"/>
    <w:rsid w:val="00A75745"/>
  </w:style>
  <w:style w:type="character" w:customStyle="1" w:styleId="il">
    <w:name w:val="il"/>
    <w:rsid w:val="008A144E"/>
  </w:style>
  <w:style w:type="character" w:customStyle="1" w:styleId="Mention1">
    <w:name w:val="Mention1"/>
    <w:basedOn w:val="DefaultParagraphFont"/>
    <w:uiPriority w:val="99"/>
    <w:semiHidden/>
    <w:unhideWhenUsed/>
    <w:rsid w:val="00D746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252">
      <w:bodyDiv w:val="1"/>
      <w:marLeft w:val="0"/>
      <w:marRight w:val="0"/>
      <w:marTop w:val="0"/>
      <w:marBottom w:val="0"/>
      <w:divBdr>
        <w:top w:val="none" w:sz="0" w:space="0" w:color="auto"/>
        <w:left w:val="none" w:sz="0" w:space="0" w:color="auto"/>
        <w:bottom w:val="none" w:sz="0" w:space="0" w:color="auto"/>
        <w:right w:val="none" w:sz="0" w:space="0" w:color="auto"/>
      </w:divBdr>
      <w:divsChild>
        <w:div w:id="292446743">
          <w:marLeft w:val="0"/>
          <w:marRight w:val="0"/>
          <w:marTop w:val="0"/>
          <w:marBottom w:val="0"/>
          <w:divBdr>
            <w:top w:val="none" w:sz="0" w:space="0" w:color="auto"/>
            <w:left w:val="none" w:sz="0" w:space="0" w:color="auto"/>
            <w:bottom w:val="none" w:sz="0" w:space="0" w:color="auto"/>
            <w:right w:val="none" w:sz="0" w:space="0" w:color="auto"/>
          </w:divBdr>
        </w:div>
        <w:div w:id="676731572">
          <w:marLeft w:val="0"/>
          <w:marRight w:val="0"/>
          <w:marTop w:val="0"/>
          <w:marBottom w:val="0"/>
          <w:divBdr>
            <w:top w:val="none" w:sz="0" w:space="0" w:color="auto"/>
            <w:left w:val="none" w:sz="0" w:space="0" w:color="auto"/>
            <w:bottom w:val="none" w:sz="0" w:space="0" w:color="auto"/>
            <w:right w:val="none" w:sz="0" w:space="0" w:color="auto"/>
          </w:divBdr>
        </w:div>
      </w:divsChild>
    </w:div>
    <w:div w:id="432357744">
      <w:bodyDiv w:val="1"/>
      <w:marLeft w:val="0"/>
      <w:marRight w:val="0"/>
      <w:marTop w:val="0"/>
      <w:marBottom w:val="0"/>
      <w:divBdr>
        <w:top w:val="none" w:sz="0" w:space="0" w:color="auto"/>
        <w:left w:val="none" w:sz="0" w:space="0" w:color="auto"/>
        <w:bottom w:val="none" w:sz="0" w:space="0" w:color="auto"/>
        <w:right w:val="none" w:sz="0" w:space="0" w:color="auto"/>
      </w:divBdr>
    </w:div>
    <w:div w:id="567349762">
      <w:bodyDiv w:val="1"/>
      <w:marLeft w:val="0"/>
      <w:marRight w:val="0"/>
      <w:marTop w:val="0"/>
      <w:marBottom w:val="0"/>
      <w:divBdr>
        <w:top w:val="none" w:sz="0" w:space="0" w:color="auto"/>
        <w:left w:val="none" w:sz="0" w:space="0" w:color="auto"/>
        <w:bottom w:val="none" w:sz="0" w:space="0" w:color="auto"/>
        <w:right w:val="none" w:sz="0" w:space="0" w:color="auto"/>
      </w:divBdr>
    </w:div>
    <w:div w:id="773935444">
      <w:bodyDiv w:val="1"/>
      <w:marLeft w:val="0"/>
      <w:marRight w:val="0"/>
      <w:marTop w:val="0"/>
      <w:marBottom w:val="0"/>
      <w:divBdr>
        <w:top w:val="none" w:sz="0" w:space="0" w:color="auto"/>
        <w:left w:val="none" w:sz="0" w:space="0" w:color="auto"/>
        <w:bottom w:val="none" w:sz="0" w:space="0" w:color="auto"/>
        <w:right w:val="none" w:sz="0" w:space="0" w:color="auto"/>
      </w:divBdr>
    </w:div>
    <w:div w:id="928005837">
      <w:bodyDiv w:val="1"/>
      <w:marLeft w:val="0"/>
      <w:marRight w:val="0"/>
      <w:marTop w:val="0"/>
      <w:marBottom w:val="0"/>
      <w:divBdr>
        <w:top w:val="none" w:sz="0" w:space="0" w:color="auto"/>
        <w:left w:val="none" w:sz="0" w:space="0" w:color="auto"/>
        <w:bottom w:val="none" w:sz="0" w:space="0" w:color="auto"/>
        <w:right w:val="none" w:sz="0" w:space="0" w:color="auto"/>
      </w:divBdr>
    </w:div>
    <w:div w:id="1185437888">
      <w:bodyDiv w:val="1"/>
      <w:marLeft w:val="0"/>
      <w:marRight w:val="0"/>
      <w:marTop w:val="0"/>
      <w:marBottom w:val="0"/>
      <w:divBdr>
        <w:top w:val="none" w:sz="0" w:space="0" w:color="auto"/>
        <w:left w:val="none" w:sz="0" w:space="0" w:color="auto"/>
        <w:bottom w:val="none" w:sz="0" w:space="0" w:color="auto"/>
        <w:right w:val="none" w:sz="0" w:space="0" w:color="auto"/>
      </w:divBdr>
    </w:div>
    <w:div w:id="1243299765">
      <w:bodyDiv w:val="1"/>
      <w:marLeft w:val="0"/>
      <w:marRight w:val="0"/>
      <w:marTop w:val="0"/>
      <w:marBottom w:val="0"/>
      <w:divBdr>
        <w:top w:val="none" w:sz="0" w:space="0" w:color="auto"/>
        <w:left w:val="none" w:sz="0" w:space="0" w:color="auto"/>
        <w:bottom w:val="none" w:sz="0" w:space="0" w:color="auto"/>
        <w:right w:val="none" w:sz="0" w:space="0" w:color="auto"/>
      </w:divBdr>
    </w:div>
    <w:div w:id="1913151786">
      <w:bodyDiv w:val="1"/>
      <w:marLeft w:val="0"/>
      <w:marRight w:val="0"/>
      <w:marTop w:val="0"/>
      <w:marBottom w:val="0"/>
      <w:divBdr>
        <w:top w:val="none" w:sz="0" w:space="0" w:color="auto"/>
        <w:left w:val="none" w:sz="0" w:space="0" w:color="auto"/>
        <w:bottom w:val="none" w:sz="0" w:space="0" w:color="auto"/>
        <w:right w:val="none" w:sz="0" w:space="0" w:color="auto"/>
      </w:divBdr>
      <w:divsChild>
        <w:div w:id="1853840453">
          <w:marLeft w:val="0"/>
          <w:marRight w:val="0"/>
          <w:marTop w:val="0"/>
          <w:marBottom w:val="0"/>
          <w:divBdr>
            <w:top w:val="none" w:sz="0" w:space="0" w:color="auto"/>
            <w:left w:val="none" w:sz="0" w:space="0" w:color="auto"/>
            <w:bottom w:val="none" w:sz="0" w:space="0" w:color="auto"/>
            <w:right w:val="none" w:sz="0" w:space="0" w:color="auto"/>
          </w:divBdr>
          <w:divsChild>
            <w:div w:id="2087533058">
              <w:marLeft w:val="0"/>
              <w:marRight w:val="0"/>
              <w:marTop w:val="0"/>
              <w:marBottom w:val="0"/>
              <w:divBdr>
                <w:top w:val="none" w:sz="0" w:space="0" w:color="auto"/>
                <w:left w:val="none" w:sz="0" w:space="0" w:color="auto"/>
                <w:bottom w:val="none" w:sz="0" w:space="0" w:color="auto"/>
                <w:right w:val="none" w:sz="0" w:space="0" w:color="auto"/>
              </w:divBdr>
              <w:divsChild>
                <w:div w:id="631711393">
                  <w:marLeft w:val="150"/>
                  <w:marRight w:val="150"/>
                  <w:marTop w:val="0"/>
                  <w:marBottom w:val="0"/>
                  <w:divBdr>
                    <w:top w:val="none" w:sz="0" w:space="0" w:color="auto"/>
                    <w:left w:val="none" w:sz="0" w:space="0" w:color="auto"/>
                    <w:bottom w:val="none" w:sz="0" w:space="0" w:color="auto"/>
                    <w:right w:val="none" w:sz="0" w:space="0" w:color="auto"/>
                  </w:divBdr>
                  <w:divsChild>
                    <w:div w:id="1736900869">
                      <w:marLeft w:val="0"/>
                      <w:marRight w:val="0"/>
                      <w:marTop w:val="0"/>
                      <w:marBottom w:val="0"/>
                      <w:divBdr>
                        <w:top w:val="none" w:sz="0" w:space="0" w:color="auto"/>
                        <w:left w:val="none" w:sz="0" w:space="0" w:color="auto"/>
                        <w:bottom w:val="none" w:sz="0" w:space="0" w:color="auto"/>
                        <w:right w:val="none" w:sz="0" w:space="0" w:color="auto"/>
                      </w:divBdr>
                      <w:divsChild>
                        <w:div w:id="37752212">
                          <w:marLeft w:val="0"/>
                          <w:marRight w:val="0"/>
                          <w:marTop w:val="0"/>
                          <w:marBottom w:val="0"/>
                          <w:divBdr>
                            <w:top w:val="none" w:sz="0" w:space="0" w:color="auto"/>
                            <w:left w:val="none" w:sz="0" w:space="0" w:color="auto"/>
                            <w:bottom w:val="none" w:sz="0" w:space="0" w:color="auto"/>
                            <w:right w:val="none" w:sz="0" w:space="0" w:color="auto"/>
                          </w:divBdr>
                          <w:divsChild>
                            <w:div w:id="800465285">
                              <w:marLeft w:val="0"/>
                              <w:marRight w:val="0"/>
                              <w:marTop w:val="0"/>
                              <w:marBottom w:val="0"/>
                              <w:divBdr>
                                <w:top w:val="none" w:sz="0" w:space="0" w:color="auto"/>
                                <w:left w:val="none" w:sz="0" w:space="0" w:color="auto"/>
                                <w:bottom w:val="none" w:sz="0" w:space="0" w:color="auto"/>
                                <w:right w:val="none" w:sz="0" w:space="0" w:color="auto"/>
                              </w:divBdr>
                              <w:divsChild>
                                <w:div w:id="1536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se_ci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fpub.epa.gov/ncea/hfstudy/recordisplay.cfm?deid=332990" TargetMode="External"/><Relationship Id="rId4" Type="http://schemas.openxmlformats.org/officeDocument/2006/relationships/settings" Target="settings.xml"/><Relationship Id="rId9" Type="http://schemas.openxmlformats.org/officeDocument/2006/relationships/hyperlink" Target="https://www.epa.gov/newsreleases/epa-program-provide-1b-credit-finance-over-2b-water-infrastructure-inves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44AE-53EA-422B-AA3C-6DF28DA5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Water Quality Committee</vt:lpstr>
    </vt:vector>
  </TitlesOfParts>
  <Company>Western States Water Council</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Committee</dc:title>
  <dc:creator>Jeff</dc:creator>
  <cp:lastModifiedBy>Michelle</cp:lastModifiedBy>
  <cp:revision>4</cp:revision>
  <cp:lastPrinted>2017-05-24T21:19:00Z</cp:lastPrinted>
  <dcterms:created xsi:type="dcterms:W3CDTF">2017-05-24T22:03:00Z</dcterms:created>
  <dcterms:modified xsi:type="dcterms:W3CDTF">2017-09-13T15:32:00Z</dcterms:modified>
</cp:coreProperties>
</file>