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DC1F" w14:textId="2F021BB1" w:rsidR="004364CC" w:rsidRDefault="0065127A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50D79BD" wp14:editId="5CCE3161">
            <wp:simplePos x="0" y="0"/>
            <wp:positionH relativeFrom="column">
              <wp:posOffset>9525</wp:posOffset>
            </wp:positionH>
            <wp:positionV relativeFrom="paragraph">
              <wp:posOffset>1905</wp:posOffset>
            </wp:positionV>
            <wp:extent cx="902970" cy="10953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7B">
        <w:rPr>
          <w:rFonts w:ascii="Times New Roman" w:hAnsi="Times New Roman"/>
          <w:b/>
          <w:sz w:val="24"/>
          <w:szCs w:val="24"/>
        </w:rPr>
        <w:t>POSITION</w:t>
      </w:r>
    </w:p>
    <w:p w14:paraId="19EB7B10" w14:textId="7EED3116" w:rsidR="003B407B" w:rsidRDefault="003B407B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</w:t>
      </w:r>
    </w:p>
    <w:p w14:paraId="79DCDA91" w14:textId="6C810663" w:rsidR="003B407B" w:rsidRDefault="003B407B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WESTERN STATES WATER COUNCIL</w:t>
      </w:r>
    </w:p>
    <w:p w14:paraId="28B9F100" w14:textId="2CDEE54C" w:rsidR="003B407B" w:rsidRDefault="003B407B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on</w:t>
      </w:r>
      <w:proofErr w:type="gramEnd"/>
    </w:p>
    <w:p w14:paraId="005F5E74" w14:textId="7E0F6CA6" w:rsidR="003B407B" w:rsidRDefault="008E5972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PRIMACY OVER GROUNDWATER</w:t>
      </w:r>
    </w:p>
    <w:p w14:paraId="65B72643" w14:textId="77777777" w:rsidR="00B3740F" w:rsidRDefault="00B3740F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43B2EE" w14:textId="30C8068E" w:rsidR="00B3740F" w:rsidRDefault="006C3F1B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Arlington, Virginia</w:t>
      </w:r>
    </w:p>
    <w:p w14:paraId="46342D7A" w14:textId="53C778F5" w:rsidR="00B3740F" w:rsidRDefault="006C3F1B" w:rsidP="00013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14, 2018</w:t>
      </w:r>
    </w:p>
    <w:p w14:paraId="5AC17311" w14:textId="77777777" w:rsidR="00724F8F" w:rsidRDefault="00724F8F" w:rsidP="003B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83389" w14:textId="77777777" w:rsidR="00330EAB" w:rsidRDefault="00330EAB" w:rsidP="003B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DD8E0" w14:textId="77777777" w:rsidR="00F95FC6" w:rsidRDefault="00B127B3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95FC6">
        <w:rPr>
          <w:rFonts w:ascii="Times New Roman" w:hAnsi="Times New Roman"/>
          <w:b/>
          <w:sz w:val="24"/>
          <w:szCs w:val="24"/>
        </w:rPr>
        <w:t>WHEREAS</w:t>
      </w:r>
      <w:r w:rsidR="00F95FC6">
        <w:rPr>
          <w:rFonts w:ascii="Times New Roman" w:hAnsi="Times New Roman"/>
          <w:sz w:val="24"/>
          <w:szCs w:val="24"/>
        </w:rPr>
        <w:t xml:space="preserve">, groundwater is </w:t>
      </w:r>
      <w:r w:rsidR="008E5972">
        <w:rPr>
          <w:rFonts w:ascii="Times New Roman" w:hAnsi="Times New Roman"/>
          <w:sz w:val="24"/>
          <w:szCs w:val="24"/>
        </w:rPr>
        <w:t>a critically important natural resource that is vital to the economy and environment of</w:t>
      </w:r>
      <w:r w:rsidR="00F95FC6">
        <w:rPr>
          <w:rFonts w:ascii="Times New Roman" w:hAnsi="Times New Roman"/>
          <w:sz w:val="24"/>
          <w:szCs w:val="24"/>
        </w:rPr>
        <w:t xml:space="preserve"> the arid West; </w:t>
      </w:r>
    </w:p>
    <w:p w14:paraId="4EC5D580" w14:textId="77777777" w:rsidR="00F95FC6" w:rsidRDefault="00F95FC6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C7E52" w14:textId="77777777" w:rsidR="008539CB" w:rsidRDefault="00F95FC6" w:rsidP="00EC722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90B8A">
        <w:rPr>
          <w:rFonts w:ascii="Times New Roman" w:hAnsi="Times New Roman"/>
          <w:b/>
          <w:sz w:val="24"/>
          <w:szCs w:val="24"/>
        </w:rPr>
        <w:t>WHEREAS</w:t>
      </w:r>
      <w:r w:rsidR="00590B8A">
        <w:rPr>
          <w:rFonts w:ascii="Times New Roman" w:hAnsi="Times New Roman"/>
          <w:sz w:val="24"/>
          <w:szCs w:val="24"/>
        </w:rPr>
        <w:t>,</w:t>
      </w:r>
      <w:r w:rsidR="008539CB">
        <w:rPr>
          <w:rFonts w:ascii="Times New Roman" w:hAnsi="Times New Roman"/>
          <w:sz w:val="24"/>
          <w:szCs w:val="24"/>
        </w:rPr>
        <w:t xml:space="preserve"> the Desert Land Act of 1877 and the United States Supreme Court</w:t>
      </w:r>
      <w:r w:rsidR="003F37AC">
        <w:rPr>
          <w:rFonts w:ascii="Times New Roman" w:hAnsi="Times New Roman"/>
          <w:sz w:val="24"/>
          <w:szCs w:val="24"/>
        </w:rPr>
        <w:t xml:space="preserve"> in </w:t>
      </w:r>
      <w:r w:rsidR="003F37AC" w:rsidRPr="00F61918">
        <w:rPr>
          <w:rFonts w:ascii="Times New Roman" w:hAnsi="Times New Roman"/>
          <w:i/>
          <w:sz w:val="24"/>
          <w:szCs w:val="24"/>
        </w:rPr>
        <w:t>California Oregon Power Co. v. Beaver Portland Cement Co.</w:t>
      </w:r>
      <w:r w:rsidR="003F37AC">
        <w:rPr>
          <w:rFonts w:ascii="Times New Roman" w:hAnsi="Times New Roman"/>
          <w:sz w:val="24"/>
          <w:szCs w:val="24"/>
        </w:rPr>
        <w:t>,</w:t>
      </w:r>
      <w:r w:rsidR="003F37AC" w:rsidRPr="00F61918">
        <w:rPr>
          <w:rFonts w:ascii="Times New Roman" w:hAnsi="Times New Roman"/>
          <w:sz w:val="24"/>
          <w:szCs w:val="24"/>
        </w:rPr>
        <w:t xml:space="preserve"> 295 U.S. 142 (1935)</w:t>
      </w:r>
      <w:r w:rsidR="00EC7220">
        <w:rPr>
          <w:rFonts w:ascii="Times New Roman" w:hAnsi="Times New Roman"/>
          <w:sz w:val="24"/>
          <w:szCs w:val="24"/>
        </w:rPr>
        <w:t xml:space="preserve"> recognize </w:t>
      </w:r>
      <w:r w:rsidR="008131E4">
        <w:rPr>
          <w:rFonts w:ascii="Times New Roman" w:hAnsi="Times New Roman"/>
          <w:sz w:val="24"/>
          <w:szCs w:val="24"/>
        </w:rPr>
        <w:t>S</w:t>
      </w:r>
      <w:r w:rsidR="00EC7220">
        <w:rPr>
          <w:rFonts w:ascii="Times New Roman" w:hAnsi="Times New Roman"/>
          <w:sz w:val="24"/>
          <w:szCs w:val="24"/>
        </w:rPr>
        <w:t xml:space="preserve">tates have exclusive authority over the allocation and administration of rights to the use of the groundwater within their borders and </w:t>
      </w:r>
      <w:r w:rsidR="008131E4">
        <w:rPr>
          <w:rFonts w:ascii="Times New Roman" w:hAnsi="Times New Roman"/>
          <w:sz w:val="24"/>
          <w:szCs w:val="24"/>
        </w:rPr>
        <w:t xml:space="preserve">States and their political subdivisions </w:t>
      </w:r>
      <w:r w:rsidR="00EC7220">
        <w:rPr>
          <w:rFonts w:ascii="Times New Roman" w:hAnsi="Times New Roman"/>
          <w:sz w:val="24"/>
          <w:szCs w:val="24"/>
        </w:rPr>
        <w:t>are primarily responsible for the protection, control and management of the resource</w:t>
      </w:r>
      <w:r w:rsidR="008539CB">
        <w:rPr>
          <w:rFonts w:ascii="Times New Roman" w:hAnsi="Times New Roman"/>
          <w:sz w:val="24"/>
          <w:szCs w:val="24"/>
        </w:rPr>
        <w:t>;</w:t>
      </w:r>
    </w:p>
    <w:p w14:paraId="0CA6DC12" w14:textId="77777777" w:rsidR="008539CB" w:rsidRDefault="008539CB" w:rsidP="008539CB">
      <w:pPr>
        <w:spacing w:after="0" w:line="240" w:lineRule="auto"/>
        <w:ind w:firstLine="720"/>
      </w:pPr>
    </w:p>
    <w:p w14:paraId="78554E91" w14:textId="2B884C34" w:rsidR="00F61918" w:rsidRPr="008539CB" w:rsidRDefault="00F61918" w:rsidP="008539CB">
      <w:pPr>
        <w:spacing w:after="0" w:line="240" w:lineRule="auto"/>
        <w:ind w:firstLine="720"/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8A5D96">
        <w:rPr>
          <w:rFonts w:ascii="Times New Roman" w:hAnsi="Times New Roman"/>
          <w:sz w:val="24"/>
          <w:szCs w:val="24"/>
        </w:rPr>
        <w:t xml:space="preserve">the </w:t>
      </w:r>
      <w:r w:rsidR="00EC7220">
        <w:rPr>
          <w:rFonts w:ascii="Times New Roman" w:hAnsi="Times New Roman"/>
          <w:sz w:val="24"/>
          <w:szCs w:val="24"/>
        </w:rPr>
        <w:t xml:space="preserve">Congress has created and the </w:t>
      </w:r>
      <w:r w:rsidR="008A5D96">
        <w:rPr>
          <w:rFonts w:ascii="Times New Roman" w:hAnsi="Times New Roman"/>
          <w:sz w:val="24"/>
          <w:szCs w:val="24"/>
        </w:rPr>
        <w:t>U.S. Supreme Court</w:t>
      </w:r>
      <w:r w:rsidR="00EC7220">
        <w:rPr>
          <w:rFonts w:ascii="Times New Roman" w:hAnsi="Times New Roman"/>
          <w:sz w:val="24"/>
          <w:szCs w:val="24"/>
        </w:rPr>
        <w:t xml:space="preserve"> has </w:t>
      </w:r>
      <w:r w:rsidR="008A5D96" w:rsidRPr="0079499C">
        <w:rPr>
          <w:rFonts w:ascii="Times New Roman" w:hAnsi="Times New Roman"/>
          <w:sz w:val="24"/>
          <w:szCs w:val="24"/>
        </w:rPr>
        <w:t>recognize</w:t>
      </w:r>
      <w:r w:rsidR="00EC7220">
        <w:rPr>
          <w:rFonts w:ascii="Times New Roman" w:hAnsi="Times New Roman"/>
          <w:sz w:val="24"/>
          <w:szCs w:val="24"/>
        </w:rPr>
        <w:t>d</w:t>
      </w:r>
      <w:r w:rsidR="008A5D96">
        <w:rPr>
          <w:rFonts w:ascii="Times New Roman" w:hAnsi="Times New Roman"/>
          <w:sz w:val="24"/>
          <w:szCs w:val="24"/>
        </w:rPr>
        <w:t xml:space="preserve"> federal reserved rights to surface water, </w:t>
      </w:r>
      <w:r w:rsidR="00EC7220">
        <w:rPr>
          <w:rFonts w:ascii="Times New Roman" w:hAnsi="Times New Roman"/>
          <w:sz w:val="24"/>
          <w:szCs w:val="24"/>
        </w:rPr>
        <w:t xml:space="preserve">but no federal statute has addressed </w:t>
      </w:r>
      <w:r w:rsidR="008A5D96">
        <w:rPr>
          <w:rFonts w:ascii="Times New Roman" w:hAnsi="Times New Roman"/>
          <w:sz w:val="24"/>
          <w:szCs w:val="24"/>
        </w:rPr>
        <w:t>a</w:t>
      </w:r>
      <w:r w:rsidR="00EC7220">
        <w:rPr>
          <w:rFonts w:ascii="Times New Roman" w:hAnsi="Times New Roman"/>
          <w:sz w:val="24"/>
          <w:szCs w:val="24"/>
        </w:rPr>
        <w:t>ny</w:t>
      </w:r>
      <w:r w:rsidR="008A5D96">
        <w:rPr>
          <w:rFonts w:ascii="Times New Roman" w:hAnsi="Times New Roman"/>
          <w:sz w:val="24"/>
          <w:szCs w:val="24"/>
        </w:rPr>
        <w:t xml:space="preserve"> federal </w:t>
      </w:r>
      <w:r w:rsidR="00EC7220">
        <w:rPr>
          <w:rFonts w:ascii="Times New Roman" w:hAnsi="Times New Roman"/>
          <w:sz w:val="24"/>
          <w:szCs w:val="24"/>
        </w:rPr>
        <w:t xml:space="preserve">property or other </w:t>
      </w:r>
      <w:r w:rsidR="008A5D96">
        <w:rPr>
          <w:rFonts w:ascii="Times New Roman" w:hAnsi="Times New Roman"/>
          <w:sz w:val="24"/>
          <w:szCs w:val="24"/>
        </w:rPr>
        <w:t>right</w:t>
      </w:r>
      <w:r w:rsidR="008131E4">
        <w:rPr>
          <w:rFonts w:ascii="Times New Roman" w:hAnsi="Times New Roman"/>
          <w:sz w:val="24"/>
          <w:szCs w:val="24"/>
        </w:rPr>
        <w:t>s related</w:t>
      </w:r>
      <w:r w:rsidR="008A5D96">
        <w:rPr>
          <w:rFonts w:ascii="Times New Roman" w:hAnsi="Times New Roman"/>
          <w:sz w:val="24"/>
          <w:szCs w:val="24"/>
        </w:rPr>
        <w:t xml:space="preserve"> to groundwater; and</w:t>
      </w:r>
    </w:p>
    <w:p w14:paraId="7BB3FB12" w14:textId="77777777" w:rsidR="008A5D96" w:rsidRDefault="008A5D96" w:rsidP="00F61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3DF0B" w14:textId="77777777" w:rsidR="008A5D96" w:rsidRDefault="008A5D96" w:rsidP="00F61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WHER</w:t>
      </w:r>
      <w:r w:rsidR="00BA0F7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, </w:t>
      </w:r>
      <w:r w:rsidR="006B004C">
        <w:rPr>
          <w:rFonts w:ascii="Times New Roman" w:hAnsi="Times New Roman"/>
          <w:sz w:val="24"/>
          <w:szCs w:val="24"/>
        </w:rPr>
        <w:t xml:space="preserve">the regulatory reach of </w:t>
      </w:r>
      <w:r>
        <w:rPr>
          <w:rFonts w:ascii="Times New Roman" w:hAnsi="Times New Roman"/>
          <w:sz w:val="24"/>
          <w:szCs w:val="24"/>
        </w:rPr>
        <w:t>federal statutes</w:t>
      </w:r>
      <w:r w:rsidR="00EA43AA">
        <w:rPr>
          <w:rFonts w:ascii="Times New Roman" w:hAnsi="Times New Roman"/>
          <w:sz w:val="24"/>
          <w:szCs w:val="24"/>
        </w:rPr>
        <w:t xml:space="preserve"> and regulations</w:t>
      </w:r>
      <w:r w:rsidR="005621CE">
        <w:rPr>
          <w:rFonts w:ascii="Times New Roman" w:hAnsi="Times New Roman"/>
          <w:sz w:val="24"/>
          <w:szCs w:val="24"/>
        </w:rPr>
        <w:t>, including but not limited to</w:t>
      </w:r>
      <w:r>
        <w:rPr>
          <w:rFonts w:ascii="Times New Roman" w:hAnsi="Times New Roman"/>
          <w:sz w:val="24"/>
          <w:szCs w:val="24"/>
        </w:rPr>
        <w:t xml:space="preserve"> the Clean Water Act</w:t>
      </w:r>
      <w:r w:rsidR="006B004C">
        <w:rPr>
          <w:rFonts w:ascii="Times New Roman" w:hAnsi="Times New Roman"/>
          <w:sz w:val="24"/>
          <w:szCs w:val="24"/>
        </w:rPr>
        <w:t xml:space="preserve">, </w:t>
      </w:r>
      <w:r w:rsidR="00711B8F">
        <w:rPr>
          <w:rFonts w:ascii="Times New Roman" w:hAnsi="Times New Roman"/>
          <w:sz w:val="24"/>
          <w:szCs w:val="24"/>
        </w:rPr>
        <w:t xml:space="preserve">Endangered Species Act, </w:t>
      </w:r>
      <w:r w:rsidR="00B3740F">
        <w:rPr>
          <w:rFonts w:ascii="Times New Roman" w:hAnsi="Times New Roman"/>
          <w:sz w:val="24"/>
          <w:szCs w:val="24"/>
        </w:rPr>
        <w:t xml:space="preserve">Multiple-Use Sustained-Yield Act, </w:t>
      </w:r>
      <w:r w:rsidR="00711B8F">
        <w:rPr>
          <w:rFonts w:ascii="Times New Roman" w:hAnsi="Times New Roman"/>
          <w:sz w:val="24"/>
          <w:szCs w:val="24"/>
        </w:rPr>
        <w:t>National Envi</w:t>
      </w:r>
      <w:r w:rsidR="00DC721A">
        <w:rPr>
          <w:rFonts w:ascii="Times New Roman" w:hAnsi="Times New Roman"/>
          <w:sz w:val="24"/>
          <w:szCs w:val="24"/>
        </w:rPr>
        <w:t>r</w:t>
      </w:r>
      <w:r w:rsidR="00711B8F">
        <w:rPr>
          <w:rFonts w:ascii="Times New Roman" w:hAnsi="Times New Roman"/>
          <w:sz w:val="24"/>
          <w:szCs w:val="24"/>
        </w:rPr>
        <w:t xml:space="preserve">onmental Policy Act, </w:t>
      </w:r>
      <w:r w:rsidR="00B3740F">
        <w:rPr>
          <w:rFonts w:ascii="Times New Roman" w:hAnsi="Times New Roman"/>
          <w:sz w:val="24"/>
          <w:szCs w:val="24"/>
        </w:rPr>
        <w:t xml:space="preserve">Organic Administration Act (USFS), </w:t>
      </w:r>
      <w:r w:rsidR="00711B8F">
        <w:rPr>
          <w:rFonts w:ascii="Times New Roman" w:hAnsi="Times New Roman"/>
          <w:sz w:val="24"/>
          <w:szCs w:val="24"/>
        </w:rPr>
        <w:t xml:space="preserve">Reclamation Act of 1902, </w:t>
      </w:r>
      <w:r w:rsidR="006B004C">
        <w:rPr>
          <w:rFonts w:ascii="Times New Roman" w:hAnsi="Times New Roman"/>
          <w:sz w:val="24"/>
          <w:szCs w:val="24"/>
        </w:rPr>
        <w:t>Safe Drinking Water Act</w:t>
      </w:r>
      <w:r w:rsidR="00BA0F7D">
        <w:rPr>
          <w:rFonts w:ascii="Times New Roman" w:hAnsi="Times New Roman"/>
          <w:sz w:val="24"/>
          <w:szCs w:val="24"/>
        </w:rPr>
        <w:t>,</w:t>
      </w:r>
      <w:r w:rsidR="00623EC8">
        <w:rPr>
          <w:rFonts w:ascii="Times New Roman" w:hAnsi="Times New Roman"/>
          <w:sz w:val="24"/>
          <w:szCs w:val="24"/>
        </w:rPr>
        <w:t xml:space="preserve"> </w:t>
      </w:r>
      <w:r w:rsidR="00B3740F">
        <w:rPr>
          <w:rFonts w:ascii="Times New Roman" w:hAnsi="Times New Roman"/>
          <w:sz w:val="24"/>
          <w:szCs w:val="24"/>
        </w:rPr>
        <w:t xml:space="preserve">Wild and Scenic Rivers Act, Wilderness Act </w:t>
      </w:r>
      <w:r w:rsidR="00623EC8">
        <w:rPr>
          <w:rFonts w:ascii="Times New Roman" w:hAnsi="Times New Roman"/>
          <w:sz w:val="24"/>
          <w:szCs w:val="24"/>
        </w:rPr>
        <w:t>and</w:t>
      </w:r>
      <w:r w:rsidR="00BA0F7D">
        <w:rPr>
          <w:rFonts w:ascii="Times New Roman" w:hAnsi="Times New Roman"/>
          <w:sz w:val="24"/>
          <w:szCs w:val="24"/>
        </w:rPr>
        <w:t xml:space="preserve"> the</w:t>
      </w:r>
      <w:r w:rsidR="006B004C">
        <w:rPr>
          <w:rFonts w:ascii="Times New Roman" w:hAnsi="Times New Roman"/>
          <w:sz w:val="24"/>
          <w:szCs w:val="24"/>
        </w:rPr>
        <w:t xml:space="preserve"> Compr</w:t>
      </w:r>
      <w:r w:rsidR="00BA0F7D">
        <w:rPr>
          <w:rFonts w:ascii="Times New Roman" w:hAnsi="Times New Roman"/>
          <w:sz w:val="24"/>
          <w:szCs w:val="24"/>
        </w:rPr>
        <w:t>ehensive Environmental Response, Compensation, and Liability Act</w:t>
      </w:r>
      <w:r w:rsidR="005621CE">
        <w:rPr>
          <w:rFonts w:ascii="Times New Roman" w:hAnsi="Times New Roman"/>
          <w:sz w:val="24"/>
          <w:szCs w:val="24"/>
        </w:rPr>
        <w:t>,</w:t>
      </w:r>
      <w:r w:rsidR="00BA0F7D">
        <w:rPr>
          <w:rFonts w:ascii="Times New Roman" w:hAnsi="Times New Roman"/>
          <w:sz w:val="24"/>
          <w:szCs w:val="24"/>
        </w:rPr>
        <w:t xml:space="preserve"> were never intended to </w:t>
      </w:r>
      <w:r w:rsidR="00EC5DB1">
        <w:rPr>
          <w:rFonts w:ascii="Times New Roman" w:hAnsi="Times New Roman"/>
          <w:sz w:val="24"/>
          <w:szCs w:val="24"/>
        </w:rPr>
        <w:t xml:space="preserve">infringe upon </w:t>
      </w:r>
      <w:r w:rsidR="00C445CD">
        <w:rPr>
          <w:rFonts w:ascii="Times New Roman" w:hAnsi="Times New Roman"/>
          <w:sz w:val="24"/>
          <w:szCs w:val="24"/>
        </w:rPr>
        <w:t xml:space="preserve">state ownership </w:t>
      </w:r>
      <w:r w:rsidR="00A744AD">
        <w:rPr>
          <w:rFonts w:ascii="Times New Roman" w:hAnsi="Times New Roman"/>
          <w:sz w:val="24"/>
          <w:szCs w:val="24"/>
        </w:rPr>
        <w:t>or</w:t>
      </w:r>
      <w:r w:rsidR="00C445CD">
        <w:rPr>
          <w:rFonts w:ascii="Times New Roman" w:hAnsi="Times New Roman"/>
          <w:sz w:val="24"/>
          <w:szCs w:val="24"/>
        </w:rPr>
        <w:t xml:space="preserve"> control over groundwater</w:t>
      </w:r>
      <w:r w:rsidR="00BA0F7D">
        <w:rPr>
          <w:rFonts w:ascii="Times New Roman" w:hAnsi="Times New Roman"/>
          <w:sz w:val="24"/>
          <w:szCs w:val="24"/>
        </w:rPr>
        <w:t xml:space="preserve">; </w:t>
      </w:r>
      <w:r w:rsidR="00590B8A">
        <w:rPr>
          <w:rFonts w:ascii="Times New Roman" w:hAnsi="Times New Roman"/>
          <w:sz w:val="24"/>
          <w:szCs w:val="24"/>
        </w:rPr>
        <w:t>and</w:t>
      </w:r>
    </w:p>
    <w:p w14:paraId="09808C6E" w14:textId="77777777" w:rsidR="00BA0F7D" w:rsidRDefault="00BA0F7D" w:rsidP="00F61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80CDD" w14:textId="77777777" w:rsidR="00C73CD1" w:rsidRDefault="00BA0F7D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220">
        <w:rPr>
          <w:rFonts w:ascii="Times New Roman" w:hAnsi="Times New Roman"/>
          <w:b/>
          <w:sz w:val="24"/>
          <w:szCs w:val="24"/>
        </w:rPr>
        <w:t>WHEREAS</w:t>
      </w:r>
      <w:r w:rsidR="008131E4">
        <w:rPr>
          <w:rFonts w:ascii="Times New Roman" w:hAnsi="Times New Roman"/>
          <w:sz w:val="24"/>
          <w:szCs w:val="24"/>
        </w:rPr>
        <w:t>, S</w:t>
      </w:r>
      <w:r w:rsidR="00EC7220">
        <w:rPr>
          <w:rFonts w:ascii="Times New Roman" w:hAnsi="Times New Roman"/>
          <w:sz w:val="24"/>
          <w:szCs w:val="24"/>
        </w:rPr>
        <w:t>tates recognize the importance of effective groundwater management and are in the best position to</w:t>
      </w:r>
      <w:r w:rsidR="00EC7220">
        <w:rPr>
          <w:rFonts w:ascii="Times New Roman" w:hAnsi="Times New Roman"/>
        </w:rPr>
        <w:t xml:space="preserve"> </w:t>
      </w:r>
      <w:r w:rsidR="00EC7220" w:rsidRPr="005E3179">
        <w:rPr>
          <w:rFonts w:ascii="Times New Roman" w:hAnsi="Times New Roman"/>
          <w:sz w:val="24"/>
          <w:szCs w:val="24"/>
        </w:rPr>
        <w:t xml:space="preserve">protect groundwater quality and allow for the orderly and rational allocation </w:t>
      </w:r>
      <w:r w:rsidR="008131E4" w:rsidRPr="005E3179">
        <w:rPr>
          <w:rFonts w:ascii="Times New Roman" w:hAnsi="Times New Roman"/>
          <w:sz w:val="24"/>
          <w:szCs w:val="24"/>
        </w:rPr>
        <w:t xml:space="preserve">and administration </w:t>
      </w:r>
      <w:r w:rsidR="00EC7220" w:rsidRPr="005E3179">
        <w:rPr>
          <w:rFonts w:ascii="Times New Roman" w:hAnsi="Times New Roman"/>
          <w:sz w:val="24"/>
          <w:szCs w:val="24"/>
        </w:rPr>
        <w:t>of the resource through state laws and regulations that are specific to their individual circumstances; and</w:t>
      </w:r>
    </w:p>
    <w:p w14:paraId="1B3236E8" w14:textId="77777777" w:rsidR="00CF7708" w:rsidRDefault="00CF7708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113BB" w14:textId="77777777" w:rsidR="00CF7708" w:rsidRPr="00CF7708" w:rsidRDefault="00C73CD1" w:rsidP="00CF770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F7708">
        <w:rPr>
          <w:rFonts w:ascii="Times New Roman" w:hAnsi="Times New Roman"/>
          <w:b/>
          <w:sz w:val="24"/>
          <w:szCs w:val="24"/>
        </w:rPr>
        <w:t>WHEREAS</w:t>
      </w:r>
      <w:r w:rsidRPr="00CF7708">
        <w:rPr>
          <w:rFonts w:ascii="Times New Roman" w:hAnsi="Times New Roman"/>
          <w:sz w:val="24"/>
          <w:szCs w:val="24"/>
        </w:rPr>
        <w:t xml:space="preserve">, working cooperatively with their federal partners, states have shown that they </w:t>
      </w:r>
      <w:r w:rsidR="009954E7" w:rsidRPr="00CF7708">
        <w:rPr>
          <w:rFonts w:ascii="Times New Roman" w:hAnsi="Times New Roman"/>
          <w:sz w:val="24"/>
          <w:szCs w:val="24"/>
        </w:rPr>
        <w:t xml:space="preserve">have the </w:t>
      </w:r>
      <w:r w:rsidRPr="00CF7708">
        <w:rPr>
          <w:rFonts w:ascii="Times New Roman" w:hAnsi="Times New Roman"/>
          <w:sz w:val="24"/>
          <w:szCs w:val="24"/>
        </w:rPr>
        <w:t xml:space="preserve">ability and authority to address federal needs regarding groundwater within existing legal frameworks, including but not limited to memoranda of understanding, water rights compacts, stipulations, and other methods; and </w:t>
      </w:r>
      <w:r w:rsidR="00EC7220" w:rsidRPr="00CF7708">
        <w:rPr>
          <w:rFonts w:ascii="Times New Roman" w:hAnsi="Times New Roman"/>
          <w:b/>
          <w:sz w:val="24"/>
          <w:szCs w:val="24"/>
        </w:rPr>
        <w:tab/>
      </w:r>
    </w:p>
    <w:p w14:paraId="3D0EE8A4" w14:textId="77777777" w:rsidR="00CF7708" w:rsidRPr="00CF7708" w:rsidRDefault="00CF7708" w:rsidP="00EC7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FFB138" w14:textId="77777777" w:rsidR="00EC7220" w:rsidRDefault="00EC7220" w:rsidP="00CF770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95FC6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the conditions affecting groundwater supplies, demands, and impairments vary </w:t>
      </w:r>
      <w:r w:rsidRPr="00F95FC6">
        <w:rPr>
          <w:rFonts w:ascii="Times New Roman" w:hAnsi="Times New Roman"/>
          <w:sz w:val="24"/>
          <w:szCs w:val="24"/>
        </w:rPr>
        <w:t>considerably</w:t>
      </w:r>
      <w:r>
        <w:rPr>
          <w:rFonts w:ascii="Times New Roman" w:hAnsi="Times New Roman"/>
          <w:sz w:val="24"/>
          <w:szCs w:val="24"/>
        </w:rPr>
        <w:t xml:space="preserve"> across the West and within individual states; and</w:t>
      </w:r>
      <w:r>
        <w:rPr>
          <w:rFonts w:ascii="Times New Roman" w:hAnsi="Times New Roman"/>
          <w:sz w:val="24"/>
          <w:szCs w:val="24"/>
        </w:rPr>
        <w:tab/>
      </w:r>
    </w:p>
    <w:p w14:paraId="0F3EA2CA" w14:textId="77777777" w:rsidR="00EC7220" w:rsidRDefault="00EC7220" w:rsidP="00EC7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F7D328" w14:textId="280B511B" w:rsidR="003B1A5A" w:rsidRDefault="00EC7220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72C7F">
        <w:rPr>
          <w:rFonts w:ascii="Times New Roman" w:hAnsi="Times New Roman"/>
          <w:b/>
          <w:sz w:val="24"/>
          <w:szCs w:val="24"/>
        </w:rPr>
        <w:t>WHEREAS</w:t>
      </w:r>
      <w:r w:rsidR="00872C7F">
        <w:rPr>
          <w:rFonts w:ascii="Times New Roman" w:hAnsi="Times New Roman"/>
          <w:sz w:val="24"/>
          <w:szCs w:val="24"/>
        </w:rPr>
        <w:t>,</w:t>
      </w:r>
      <w:r w:rsidR="00872C7F">
        <w:rPr>
          <w:rFonts w:ascii="Times New Roman" w:hAnsi="Times New Roman"/>
          <w:b/>
          <w:sz w:val="24"/>
          <w:szCs w:val="24"/>
        </w:rPr>
        <w:t xml:space="preserve"> </w:t>
      </w:r>
      <w:r w:rsidR="00872C7F">
        <w:rPr>
          <w:rFonts w:ascii="Times New Roman" w:hAnsi="Times New Roman"/>
          <w:sz w:val="24"/>
          <w:szCs w:val="24"/>
        </w:rPr>
        <w:t xml:space="preserve">federal efforts to exert </w:t>
      </w:r>
      <w:r>
        <w:rPr>
          <w:rFonts w:ascii="Times New Roman" w:hAnsi="Times New Roman"/>
          <w:sz w:val="24"/>
          <w:szCs w:val="24"/>
        </w:rPr>
        <w:t xml:space="preserve">control </w:t>
      </w:r>
      <w:r w:rsidR="008131E4">
        <w:rPr>
          <w:rFonts w:ascii="Times New Roman" w:hAnsi="Times New Roman"/>
          <w:sz w:val="24"/>
          <w:szCs w:val="24"/>
        </w:rPr>
        <w:t xml:space="preserve">over </w:t>
      </w:r>
      <w:r>
        <w:rPr>
          <w:rFonts w:ascii="Times New Roman" w:hAnsi="Times New Roman"/>
          <w:sz w:val="24"/>
          <w:szCs w:val="24"/>
        </w:rPr>
        <w:t xml:space="preserve">or </w:t>
      </w:r>
      <w:r w:rsidR="00872C7F">
        <w:rPr>
          <w:rFonts w:ascii="Times New Roman" w:hAnsi="Times New Roman"/>
          <w:sz w:val="24"/>
          <w:szCs w:val="24"/>
        </w:rPr>
        <w:t xml:space="preserve">ownership interests </w:t>
      </w:r>
      <w:r w:rsidR="008131E4">
        <w:rPr>
          <w:rFonts w:ascii="Times New Roman" w:hAnsi="Times New Roman"/>
          <w:sz w:val="24"/>
          <w:szCs w:val="24"/>
        </w:rPr>
        <w:t xml:space="preserve">related to </w:t>
      </w:r>
      <w:r w:rsidR="004421FC">
        <w:rPr>
          <w:rFonts w:ascii="Times New Roman" w:hAnsi="Times New Roman"/>
          <w:sz w:val="24"/>
          <w:szCs w:val="24"/>
        </w:rPr>
        <w:t>groundwater</w:t>
      </w:r>
      <w:r w:rsidR="00872C7F">
        <w:rPr>
          <w:rFonts w:ascii="Times New Roman" w:hAnsi="Times New Roman"/>
          <w:sz w:val="24"/>
          <w:szCs w:val="24"/>
        </w:rPr>
        <w:t xml:space="preserve"> or otherwise </w:t>
      </w:r>
      <w:r w:rsidR="004421FC">
        <w:rPr>
          <w:rFonts w:ascii="Times New Roman" w:hAnsi="Times New Roman"/>
          <w:sz w:val="24"/>
          <w:szCs w:val="24"/>
        </w:rPr>
        <w:t>infringe upon or supersede state</w:t>
      </w:r>
      <w:r w:rsidR="00872C7F">
        <w:rPr>
          <w:rFonts w:ascii="Times New Roman" w:hAnsi="Times New Roman"/>
          <w:sz w:val="24"/>
          <w:szCs w:val="24"/>
        </w:rPr>
        <w:t xml:space="preserve"> </w:t>
      </w:r>
      <w:r w:rsidR="001A2C64">
        <w:rPr>
          <w:rFonts w:ascii="Times New Roman" w:hAnsi="Times New Roman"/>
          <w:sz w:val="24"/>
          <w:szCs w:val="24"/>
        </w:rPr>
        <w:t xml:space="preserve">rights to the use of groundwater or state </w:t>
      </w:r>
      <w:r w:rsidR="00872C7F">
        <w:rPr>
          <w:rFonts w:ascii="Times New Roman" w:hAnsi="Times New Roman"/>
          <w:sz w:val="24"/>
          <w:szCs w:val="24"/>
        </w:rPr>
        <w:t xml:space="preserve">groundwater </w:t>
      </w:r>
      <w:r w:rsidR="004421FC">
        <w:rPr>
          <w:rFonts w:ascii="Times New Roman" w:hAnsi="Times New Roman"/>
          <w:sz w:val="24"/>
          <w:szCs w:val="24"/>
        </w:rPr>
        <w:t xml:space="preserve">management </w:t>
      </w:r>
      <w:r w:rsidR="001A2C64">
        <w:rPr>
          <w:rFonts w:ascii="Times New Roman" w:hAnsi="Times New Roman"/>
          <w:sz w:val="24"/>
          <w:szCs w:val="24"/>
        </w:rPr>
        <w:t xml:space="preserve">laws and authorities </w:t>
      </w:r>
      <w:r w:rsidR="00872C7F">
        <w:rPr>
          <w:rFonts w:ascii="Times New Roman" w:hAnsi="Times New Roman"/>
          <w:sz w:val="24"/>
          <w:szCs w:val="24"/>
        </w:rPr>
        <w:t>are contrary to federal law</w:t>
      </w:r>
      <w:r w:rsidR="004421FC">
        <w:rPr>
          <w:rFonts w:ascii="Times New Roman" w:hAnsi="Times New Roman"/>
          <w:sz w:val="24"/>
          <w:szCs w:val="24"/>
        </w:rPr>
        <w:t xml:space="preserve"> </w:t>
      </w:r>
      <w:r w:rsidR="00872C7F">
        <w:rPr>
          <w:rFonts w:ascii="Times New Roman" w:hAnsi="Times New Roman"/>
          <w:sz w:val="24"/>
          <w:szCs w:val="24"/>
        </w:rPr>
        <w:t>and threaten effective groundwater management</w:t>
      </w:r>
      <w:r w:rsidR="004421FC">
        <w:rPr>
          <w:rFonts w:ascii="Times New Roman" w:hAnsi="Times New Roman"/>
          <w:sz w:val="24"/>
          <w:szCs w:val="24"/>
        </w:rPr>
        <w:t xml:space="preserve"> and protection</w:t>
      </w:r>
      <w:r w:rsidR="00711B8F">
        <w:rPr>
          <w:rFonts w:ascii="Times New Roman" w:hAnsi="Times New Roman"/>
          <w:sz w:val="24"/>
          <w:szCs w:val="24"/>
        </w:rPr>
        <w:t>; and</w:t>
      </w:r>
    </w:p>
    <w:p w14:paraId="6E6C9313" w14:textId="77777777" w:rsidR="00711B8F" w:rsidRDefault="00711B8F" w:rsidP="00F95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32F52" w14:textId="49764943" w:rsidR="00711B8F" w:rsidRPr="00711B8F" w:rsidRDefault="00711B8F" w:rsidP="00F95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11B8F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11B8F">
        <w:rPr>
          <w:rFonts w:ascii="Times New Roman" w:hAnsi="Times New Roman"/>
          <w:sz w:val="24"/>
          <w:szCs w:val="24"/>
        </w:rPr>
        <w:t>nothing stated in this position is intended to apply to the interpretation or application of any interstate compact</w:t>
      </w:r>
      <w:r w:rsidR="001A2C64">
        <w:rPr>
          <w:rFonts w:ascii="Times New Roman" w:hAnsi="Times New Roman"/>
          <w:sz w:val="24"/>
          <w:szCs w:val="24"/>
        </w:rPr>
        <w:t xml:space="preserve">, </w:t>
      </w:r>
      <w:r w:rsidR="006C3F1B">
        <w:rPr>
          <w:rFonts w:ascii="Times New Roman" w:hAnsi="Times New Roman"/>
          <w:sz w:val="24"/>
          <w:szCs w:val="24"/>
        </w:rPr>
        <w:t xml:space="preserve">court decrees, </w:t>
      </w:r>
      <w:r w:rsidR="001A2C64">
        <w:rPr>
          <w:rFonts w:ascii="Times New Roman" w:hAnsi="Times New Roman"/>
          <w:sz w:val="24"/>
          <w:szCs w:val="24"/>
        </w:rPr>
        <w:t>international treaty or tribal settlement agreement</w:t>
      </w:r>
      <w:r>
        <w:rPr>
          <w:rFonts w:ascii="Times New Roman" w:hAnsi="Times New Roman"/>
          <w:sz w:val="24"/>
          <w:szCs w:val="24"/>
        </w:rPr>
        <w:t>.</w:t>
      </w:r>
    </w:p>
    <w:p w14:paraId="504B3A86" w14:textId="77777777" w:rsidR="00EA43AA" w:rsidRDefault="00EA43AA" w:rsidP="007C31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111096F" w14:textId="26783788" w:rsidR="007C315E" w:rsidRDefault="007C315E" w:rsidP="00F61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F1B">
        <w:rPr>
          <w:rFonts w:ascii="Times New Roman" w:hAnsi="Times New Roman"/>
          <w:b/>
          <w:sz w:val="24"/>
          <w:szCs w:val="24"/>
        </w:rPr>
        <w:t>WHEREAS</w:t>
      </w:r>
      <w:r w:rsidR="00872C7F">
        <w:rPr>
          <w:rFonts w:ascii="Times New Roman" w:hAnsi="Times New Roman"/>
          <w:sz w:val="24"/>
          <w:szCs w:val="24"/>
        </w:rPr>
        <w:t xml:space="preserve">, </w:t>
      </w:r>
      <w:r w:rsidR="00872C7F" w:rsidRPr="00F61918">
        <w:rPr>
          <w:rFonts w:ascii="Times New Roman" w:hAnsi="Times New Roman"/>
          <w:sz w:val="24"/>
          <w:szCs w:val="24"/>
        </w:rPr>
        <w:t xml:space="preserve">states </w:t>
      </w:r>
      <w:r w:rsidR="008131E4">
        <w:rPr>
          <w:rFonts w:ascii="Times New Roman" w:hAnsi="Times New Roman"/>
          <w:sz w:val="24"/>
          <w:szCs w:val="24"/>
        </w:rPr>
        <w:t xml:space="preserve">have exclusive authority over the allocation and administration of rights to the use of the </w:t>
      </w:r>
      <w:r w:rsidR="00872C7F">
        <w:rPr>
          <w:rFonts w:ascii="Times New Roman" w:hAnsi="Times New Roman"/>
          <w:sz w:val="24"/>
          <w:szCs w:val="24"/>
        </w:rPr>
        <w:t>groundwater located within their bo</w:t>
      </w:r>
      <w:r w:rsidR="0066405B">
        <w:rPr>
          <w:rFonts w:ascii="Times New Roman" w:hAnsi="Times New Roman"/>
          <w:sz w:val="24"/>
          <w:szCs w:val="24"/>
        </w:rPr>
        <w:t xml:space="preserve">rders and are primarily responsible </w:t>
      </w:r>
      <w:r w:rsidR="00872C7F">
        <w:rPr>
          <w:rFonts w:ascii="Times New Roman" w:hAnsi="Times New Roman"/>
          <w:sz w:val="24"/>
          <w:szCs w:val="24"/>
        </w:rPr>
        <w:t>for allocating, protecti</w:t>
      </w:r>
      <w:r w:rsidR="005150E8">
        <w:rPr>
          <w:rFonts w:ascii="Times New Roman" w:hAnsi="Times New Roman"/>
          <w:sz w:val="24"/>
          <w:szCs w:val="24"/>
        </w:rPr>
        <w:t>ng,</w:t>
      </w:r>
      <w:r w:rsidR="00872C7F">
        <w:rPr>
          <w:rFonts w:ascii="Times New Roman" w:hAnsi="Times New Roman"/>
          <w:sz w:val="24"/>
          <w:szCs w:val="24"/>
        </w:rPr>
        <w:t xml:space="preserve"> managing </w:t>
      </w:r>
      <w:r w:rsidR="00F95FC6">
        <w:rPr>
          <w:rFonts w:ascii="Times New Roman" w:hAnsi="Times New Roman"/>
          <w:sz w:val="24"/>
          <w:szCs w:val="24"/>
        </w:rPr>
        <w:t xml:space="preserve">and otherwise controlling </w:t>
      </w:r>
      <w:r w:rsidR="00872C7F">
        <w:rPr>
          <w:rFonts w:ascii="Times New Roman" w:hAnsi="Times New Roman"/>
          <w:sz w:val="24"/>
          <w:szCs w:val="24"/>
        </w:rPr>
        <w:t>the resource; and</w:t>
      </w:r>
    </w:p>
    <w:p w14:paraId="35A3D099" w14:textId="77777777" w:rsidR="0079499C" w:rsidRDefault="0079499C" w:rsidP="00F61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65F5C" w14:textId="6CF71ECA" w:rsidR="00C73CD1" w:rsidRDefault="006C3F1B" w:rsidP="00C60BA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NOW THEREFORE </w:t>
      </w:r>
      <w:r w:rsidR="0079499C">
        <w:rPr>
          <w:rFonts w:ascii="Times New Roman" w:hAnsi="Times New Roman"/>
          <w:b/>
          <w:sz w:val="24"/>
          <w:szCs w:val="24"/>
        </w:rPr>
        <w:t>BE IT RESOLVED</w:t>
      </w:r>
      <w:r w:rsidR="00C3130D">
        <w:rPr>
          <w:rFonts w:ascii="Times New Roman" w:hAnsi="Times New Roman"/>
          <w:sz w:val="24"/>
          <w:szCs w:val="24"/>
        </w:rPr>
        <w:t xml:space="preserve">, </w:t>
      </w:r>
      <w:r w:rsidR="00872C7F">
        <w:rPr>
          <w:rFonts w:ascii="Times New Roman" w:hAnsi="Times New Roman"/>
          <w:sz w:val="24"/>
          <w:szCs w:val="24"/>
        </w:rPr>
        <w:t xml:space="preserve">that the Western States Water Council opposes any and all efforts </w:t>
      </w:r>
      <w:r w:rsidR="003F22F6">
        <w:rPr>
          <w:rFonts w:ascii="Times New Roman" w:hAnsi="Times New Roman"/>
          <w:sz w:val="24"/>
          <w:szCs w:val="24"/>
        </w:rPr>
        <w:t>that would</w:t>
      </w:r>
      <w:r w:rsidR="00C3130D">
        <w:rPr>
          <w:rFonts w:ascii="Times New Roman" w:hAnsi="Times New Roman"/>
          <w:sz w:val="24"/>
          <w:szCs w:val="24"/>
        </w:rPr>
        <w:t xml:space="preserve"> establish a federal </w:t>
      </w:r>
      <w:r w:rsidR="003F22F6">
        <w:rPr>
          <w:rFonts w:ascii="Times New Roman" w:hAnsi="Times New Roman"/>
          <w:sz w:val="24"/>
          <w:szCs w:val="24"/>
        </w:rPr>
        <w:t>owners</w:t>
      </w:r>
      <w:r w:rsidR="00210E2F">
        <w:rPr>
          <w:rFonts w:ascii="Times New Roman" w:hAnsi="Times New Roman"/>
          <w:sz w:val="24"/>
          <w:szCs w:val="24"/>
        </w:rPr>
        <w:t xml:space="preserve">hip interest in groundwater </w:t>
      </w:r>
      <w:r w:rsidR="008F3ACC">
        <w:rPr>
          <w:rFonts w:ascii="Times New Roman" w:hAnsi="Times New Roman"/>
          <w:sz w:val="24"/>
          <w:szCs w:val="24"/>
        </w:rPr>
        <w:t>not otherwise recognized or allowed under state law</w:t>
      </w:r>
      <w:r w:rsidR="00B3740F">
        <w:rPr>
          <w:rFonts w:ascii="Times New Roman" w:hAnsi="Times New Roman"/>
          <w:sz w:val="24"/>
          <w:szCs w:val="24"/>
        </w:rPr>
        <w:t xml:space="preserve">, </w:t>
      </w:r>
      <w:r w:rsidR="00210E2F">
        <w:rPr>
          <w:rFonts w:ascii="Times New Roman" w:hAnsi="Times New Roman"/>
          <w:sz w:val="24"/>
          <w:szCs w:val="24"/>
        </w:rPr>
        <w:t xml:space="preserve">or </w:t>
      </w:r>
      <w:r w:rsidR="004E683F">
        <w:rPr>
          <w:rFonts w:ascii="Times New Roman" w:hAnsi="Times New Roman"/>
          <w:sz w:val="24"/>
          <w:szCs w:val="24"/>
        </w:rPr>
        <w:t>diminish the prima</w:t>
      </w:r>
      <w:r w:rsidR="008131E4">
        <w:rPr>
          <w:rFonts w:ascii="Times New Roman" w:hAnsi="Times New Roman"/>
          <w:sz w:val="24"/>
          <w:szCs w:val="24"/>
        </w:rPr>
        <w:t xml:space="preserve">ry and exclusive authority </w:t>
      </w:r>
      <w:r w:rsidR="004E683F">
        <w:rPr>
          <w:rFonts w:ascii="Times New Roman" w:hAnsi="Times New Roman"/>
          <w:sz w:val="24"/>
          <w:szCs w:val="24"/>
        </w:rPr>
        <w:t xml:space="preserve">of </w:t>
      </w:r>
      <w:r w:rsidR="008131E4">
        <w:rPr>
          <w:rFonts w:ascii="Times New Roman" w:hAnsi="Times New Roman"/>
          <w:sz w:val="24"/>
          <w:szCs w:val="24"/>
        </w:rPr>
        <w:t>S</w:t>
      </w:r>
      <w:r w:rsidR="00D21F13">
        <w:rPr>
          <w:rFonts w:ascii="Times New Roman" w:hAnsi="Times New Roman"/>
          <w:sz w:val="24"/>
          <w:szCs w:val="24"/>
        </w:rPr>
        <w:t>tate</w:t>
      </w:r>
      <w:r w:rsidR="008131E4">
        <w:rPr>
          <w:rFonts w:ascii="Times New Roman" w:hAnsi="Times New Roman"/>
          <w:sz w:val="24"/>
          <w:szCs w:val="24"/>
        </w:rPr>
        <w:t>s</w:t>
      </w:r>
      <w:r w:rsidR="004E683F">
        <w:rPr>
          <w:rFonts w:ascii="Times New Roman" w:hAnsi="Times New Roman"/>
          <w:sz w:val="24"/>
          <w:szCs w:val="24"/>
        </w:rPr>
        <w:t xml:space="preserve"> </w:t>
      </w:r>
      <w:r w:rsidR="008131E4">
        <w:rPr>
          <w:rFonts w:ascii="Times New Roman" w:hAnsi="Times New Roman"/>
          <w:sz w:val="24"/>
          <w:szCs w:val="24"/>
        </w:rPr>
        <w:t xml:space="preserve">over </w:t>
      </w:r>
      <w:r w:rsidR="00C60BA5">
        <w:rPr>
          <w:rFonts w:ascii="Times New Roman" w:hAnsi="Times New Roman"/>
          <w:sz w:val="24"/>
          <w:szCs w:val="24"/>
        </w:rPr>
        <w:t>groundwater</w:t>
      </w:r>
      <w:r w:rsidR="00C73CD1">
        <w:rPr>
          <w:rFonts w:ascii="Times New Roman" w:hAnsi="Times New Roman"/>
          <w:sz w:val="24"/>
          <w:szCs w:val="24"/>
        </w:rPr>
        <w:t xml:space="preserve">; and </w:t>
      </w:r>
    </w:p>
    <w:p w14:paraId="06054E34" w14:textId="77777777" w:rsidR="00C60BA5" w:rsidRDefault="00C60BA5" w:rsidP="00C60BA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95C515" w14:textId="77777777" w:rsidR="00C73CD1" w:rsidRDefault="00C73CD1" w:rsidP="00C73C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73CD1">
        <w:rPr>
          <w:rFonts w:ascii="Times New Roman" w:hAnsi="Times New Roman"/>
          <w:b/>
          <w:sz w:val="24"/>
          <w:szCs w:val="24"/>
        </w:rPr>
        <w:t>BE IT FURTHER RESOLVE</w:t>
      </w:r>
      <w:r w:rsidR="00C96C38">
        <w:rPr>
          <w:rFonts w:ascii="Times New Roman" w:hAnsi="Times New Roman"/>
          <w:b/>
          <w:sz w:val="24"/>
          <w:szCs w:val="24"/>
        </w:rPr>
        <w:t>D</w:t>
      </w:r>
      <w:r w:rsidRPr="00C73CD1">
        <w:rPr>
          <w:rFonts w:ascii="Times New Roman" w:hAnsi="Times New Roman"/>
          <w:sz w:val="24"/>
          <w:szCs w:val="24"/>
        </w:rPr>
        <w:t xml:space="preserve">, that federal agencies should </w:t>
      </w:r>
      <w:r w:rsidR="00CB5F8B">
        <w:rPr>
          <w:rFonts w:ascii="Times New Roman" w:hAnsi="Times New Roman"/>
          <w:sz w:val="24"/>
          <w:szCs w:val="24"/>
        </w:rPr>
        <w:t xml:space="preserve">work cooperatively with </w:t>
      </w:r>
      <w:r w:rsidRPr="00C73CD1">
        <w:rPr>
          <w:rFonts w:ascii="Times New Roman" w:hAnsi="Times New Roman"/>
          <w:sz w:val="24"/>
          <w:szCs w:val="24"/>
        </w:rPr>
        <w:t xml:space="preserve">appropriate state agencies and officials </w:t>
      </w:r>
      <w:r w:rsidRPr="003B3E9B">
        <w:rPr>
          <w:rFonts w:ascii="Times New Roman" w:hAnsi="Times New Roman"/>
          <w:sz w:val="24"/>
          <w:szCs w:val="24"/>
        </w:rPr>
        <w:t xml:space="preserve">to </w:t>
      </w:r>
      <w:r w:rsidR="00CB5F8B">
        <w:rPr>
          <w:rFonts w:ascii="Times New Roman" w:hAnsi="Times New Roman"/>
          <w:sz w:val="24"/>
          <w:szCs w:val="24"/>
        </w:rPr>
        <w:t>a</w:t>
      </w:r>
      <w:r w:rsidRPr="003B3E9B">
        <w:rPr>
          <w:rFonts w:ascii="Times New Roman" w:hAnsi="Times New Roman"/>
          <w:sz w:val="24"/>
          <w:szCs w:val="24"/>
        </w:rPr>
        <w:t>d</w:t>
      </w:r>
      <w:r w:rsidR="00CB5F8B">
        <w:rPr>
          <w:rFonts w:ascii="Times New Roman" w:hAnsi="Times New Roman"/>
          <w:sz w:val="24"/>
          <w:szCs w:val="24"/>
        </w:rPr>
        <w:t>dress</w:t>
      </w:r>
      <w:r w:rsidRPr="003B3E9B">
        <w:rPr>
          <w:rFonts w:ascii="Times New Roman" w:hAnsi="Times New Roman"/>
          <w:sz w:val="24"/>
          <w:szCs w:val="24"/>
        </w:rPr>
        <w:t xml:space="preserve"> federal needs involving groundwater </w:t>
      </w:r>
      <w:r>
        <w:rPr>
          <w:rFonts w:ascii="Times New Roman" w:hAnsi="Times New Roman"/>
          <w:sz w:val="24"/>
          <w:szCs w:val="24"/>
        </w:rPr>
        <w:t>through state laws and authorities.</w:t>
      </w:r>
    </w:p>
    <w:p w14:paraId="50B68634" w14:textId="77777777" w:rsidR="00C73CD1" w:rsidRPr="00C73CD1" w:rsidRDefault="00C73CD1" w:rsidP="00C73C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5474EFD" w14:textId="77777777" w:rsidR="003B407B" w:rsidRDefault="003B407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ADE813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ACE229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6D471C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4E0612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4B8E9F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0201CC" w14:textId="40BDD38D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0BA282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66464B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A388D5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C52833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A3F7AD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61AF2B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89E042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6D2370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F542E5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1448C5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3897E3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27D600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49A5A1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63CCFC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BB9B90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4BDB9B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34B761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6BD7A3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3C420F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BF1BFB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A1408E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364F4A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8CC390" w14:textId="77777777" w:rsidR="00CB5F8B" w:rsidRDefault="00CB5F8B" w:rsidP="00C60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376AEA" w14:textId="77777777" w:rsidR="00CB5F8B" w:rsidRPr="00CB5F8B" w:rsidRDefault="00CB5F8B" w:rsidP="00013D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B5F8B">
        <w:rPr>
          <w:rFonts w:ascii="Times New Roman" w:hAnsi="Times New Roman"/>
          <w:sz w:val="16"/>
          <w:szCs w:val="16"/>
        </w:rPr>
        <w:fldChar w:fldCharType="begin"/>
      </w:r>
      <w:r w:rsidRPr="00CB5F8B">
        <w:rPr>
          <w:rFonts w:ascii="Times New Roman" w:hAnsi="Times New Roman"/>
          <w:sz w:val="16"/>
          <w:szCs w:val="16"/>
        </w:rPr>
        <w:instrText xml:space="preserve"> FILENAME  \p  \* MERGEFORMAT </w:instrText>
      </w:r>
      <w:r w:rsidRPr="00CB5F8B">
        <w:rPr>
          <w:rFonts w:ascii="Times New Roman" w:hAnsi="Times New Roman"/>
          <w:sz w:val="16"/>
          <w:szCs w:val="16"/>
        </w:rPr>
        <w:fldChar w:fldCharType="separate"/>
      </w:r>
      <w:r w:rsidR="00013D4C">
        <w:rPr>
          <w:rFonts w:ascii="Times New Roman" w:hAnsi="Times New Roman"/>
          <w:noProof/>
          <w:sz w:val="16"/>
          <w:szCs w:val="16"/>
        </w:rPr>
        <w:t>F:\POSITION\2018\DC_2018March14\#422 WSWC Position on State Primacy over Groundwater.docx</w:t>
      </w:r>
      <w:r w:rsidRPr="00CB5F8B">
        <w:rPr>
          <w:rFonts w:ascii="Times New Roman" w:hAnsi="Times New Roman"/>
          <w:sz w:val="16"/>
          <w:szCs w:val="16"/>
        </w:rPr>
        <w:fldChar w:fldCharType="end"/>
      </w:r>
    </w:p>
    <w:sectPr w:rsidR="00CB5F8B" w:rsidRPr="00CB5F8B" w:rsidSect="00013D4C">
      <w:headerReference w:type="default" r:id="rId9"/>
      <w:pgSz w:w="12240" w:h="15840"/>
      <w:pgMar w:top="78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F5643" w14:textId="77777777" w:rsidR="00803A57" w:rsidRDefault="00803A57">
      <w:r>
        <w:separator/>
      </w:r>
    </w:p>
  </w:endnote>
  <w:endnote w:type="continuationSeparator" w:id="0">
    <w:p w14:paraId="0B85FEBE" w14:textId="77777777" w:rsidR="00803A57" w:rsidRDefault="008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8C5C" w14:textId="77777777" w:rsidR="00803A57" w:rsidRDefault="00803A57">
      <w:r>
        <w:separator/>
      </w:r>
    </w:p>
  </w:footnote>
  <w:footnote w:type="continuationSeparator" w:id="0">
    <w:p w14:paraId="2D9AC41E" w14:textId="77777777" w:rsidR="00803A57" w:rsidRDefault="0080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C4C2" w14:textId="3E2D77CA" w:rsidR="00CF7708" w:rsidRDefault="00711B8F" w:rsidP="00CF7708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Position No. </w:t>
    </w:r>
    <w:r w:rsidR="008E7B28">
      <w:rPr>
        <w:rFonts w:ascii="Times New Roman" w:hAnsi="Times New Roman"/>
        <w:sz w:val="24"/>
        <w:szCs w:val="24"/>
      </w:rPr>
      <w:t>422</w:t>
    </w:r>
  </w:p>
  <w:p w14:paraId="7681AED2" w14:textId="77777777" w:rsidR="00013D4C" w:rsidRDefault="00013D4C" w:rsidP="00CF7708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</w:p>
  <w:p w14:paraId="157F3C31" w14:textId="77777777" w:rsidR="00CF7708" w:rsidRDefault="00CF7708" w:rsidP="00CF7708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B"/>
    <w:rsid w:val="00010CE6"/>
    <w:rsid w:val="00012DC7"/>
    <w:rsid w:val="00013D4C"/>
    <w:rsid w:val="00086305"/>
    <w:rsid w:val="000A6668"/>
    <w:rsid w:val="0014532B"/>
    <w:rsid w:val="00170079"/>
    <w:rsid w:val="00184421"/>
    <w:rsid w:val="001A2C64"/>
    <w:rsid w:val="00210E2F"/>
    <w:rsid w:val="00330EAB"/>
    <w:rsid w:val="00335F0E"/>
    <w:rsid w:val="00337DA5"/>
    <w:rsid w:val="0037516D"/>
    <w:rsid w:val="0038392C"/>
    <w:rsid w:val="003B1A5A"/>
    <w:rsid w:val="003B3E9B"/>
    <w:rsid w:val="003B407B"/>
    <w:rsid w:val="003E6ECB"/>
    <w:rsid w:val="003F22F6"/>
    <w:rsid w:val="003F37AC"/>
    <w:rsid w:val="004364CC"/>
    <w:rsid w:val="004421FC"/>
    <w:rsid w:val="00480F01"/>
    <w:rsid w:val="004B35DB"/>
    <w:rsid w:val="004E683F"/>
    <w:rsid w:val="004F0A53"/>
    <w:rsid w:val="00500224"/>
    <w:rsid w:val="005150E8"/>
    <w:rsid w:val="005168D6"/>
    <w:rsid w:val="005319F1"/>
    <w:rsid w:val="00546CC4"/>
    <w:rsid w:val="005621CE"/>
    <w:rsid w:val="00590B8A"/>
    <w:rsid w:val="005E3179"/>
    <w:rsid w:val="00623144"/>
    <w:rsid w:val="00623EC8"/>
    <w:rsid w:val="0065127A"/>
    <w:rsid w:val="0066405B"/>
    <w:rsid w:val="006B004C"/>
    <w:rsid w:val="006C3F1B"/>
    <w:rsid w:val="00711B8F"/>
    <w:rsid w:val="00724F8F"/>
    <w:rsid w:val="00743687"/>
    <w:rsid w:val="007775A7"/>
    <w:rsid w:val="0079499C"/>
    <w:rsid w:val="007C315E"/>
    <w:rsid w:val="00803A57"/>
    <w:rsid w:val="008131E4"/>
    <w:rsid w:val="008539CB"/>
    <w:rsid w:val="00864436"/>
    <w:rsid w:val="0086487E"/>
    <w:rsid w:val="008725B3"/>
    <w:rsid w:val="00872C7F"/>
    <w:rsid w:val="008A5D96"/>
    <w:rsid w:val="008E5972"/>
    <w:rsid w:val="008E7B28"/>
    <w:rsid w:val="008F3ACC"/>
    <w:rsid w:val="00935F1D"/>
    <w:rsid w:val="00941694"/>
    <w:rsid w:val="00960A25"/>
    <w:rsid w:val="00965A57"/>
    <w:rsid w:val="0098658A"/>
    <w:rsid w:val="009954E7"/>
    <w:rsid w:val="009F12A6"/>
    <w:rsid w:val="009F3CFC"/>
    <w:rsid w:val="00A000E9"/>
    <w:rsid w:val="00A6062A"/>
    <w:rsid w:val="00A744AD"/>
    <w:rsid w:val="00A85FF5"/>
    <w:rsid w:val="00B127B3"/>
    <w:rsid w:val="00B3740F"/>
    <w:rsid w:val="00B87803"/>
    <w:rsid w:val="00BA0F7D"/>
    <w:rsid w:val="00BB3AD1"/>
    <w:rsid w:val="00BC3473"/>
    <w:rsid w:val="00C12752"/>
    <w:rsid w:val="00C3130D"/>
    <w:rsid w:val="00C445CD"/>
    <w:rsid w:val="00C60BA5"/>
    <w:rsid w:val="00C73CD1"/>
    <w:rsid w:val="00C96C38"/>
    <w:rsid w:val="00CB0EED"/>
    <w:rsid w:val="00CB2541"/>
    <w:rsid w:val="00CB5F8B"/>
    <w:rsid w:val="00CC4A15"/>
    <w:rsid w:val="00CD7A90"/>
    <w:rsid w:val="00CE79B4"/>
    <w:rsid w:val="00CF7708"/>
    <w:rsid w:val="00D21F13"/>
    <w:rsid w:val="00DC721A"/>
    <w:rsid w:val="00E100C1"/>
    <w:rsid w:val="00E33674"/>
    <w:rsid w:val="00EA43AA"/>
    <w:rsid w:val="00EC5DB1"/>
    <w:rsid w:val="00EC7220"/>
    <w:rsid w:val="00F61918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3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CD1"/>
    <w:rPr>
      <w:rFonts w:ascii="Tahoma" w:hAnsi="Tahoma" w:cs="Tahoma"/>
      <w:sz w:val="16"/>
      <w:szCs w:val="16"/>
    </w:rPr>
  </w:style>
  <w:style w:type="paragraph" w:customStyle="1" w:styleId="NumberList1">
    <w:name w:val="Number List 1"/>
    <w:aliases w:val="2,3"/>
    <w:basedOn w:val="Normal"/>
    <w:autoRedefine/>
    <w:rsid w:val="00C73CD1"/>
    <w:pPr>
      <w:spacing w:before="240" w:after="0" w:line="240" w:lineRule="auto"/>
      <w:ind w:left="720"/>
    </w:pPr>
    <w:rPr>
      <w:rFonts w:ascii="Times New Roman" w:eastAsia="Times New Roman" w:hAnsi="Times New Roman"/>
      <w:sz w:val="24"/>
      <w:szCs w:val="24"/>
      <w:u w:val="single"/>
    </w:rPr>
  </w:style>
  <w:style w:type="character" w:styleId="CommentReference">
    <w:name w:val="annotation reference"/>
    <w:semiHidden/>
    <w:rsid w:val="00C73C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3C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C73C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CD1"/>
    <w:rPr>
      <w:rFonts w:ascii="Tahoma" w:hAnsi="Tahoma" w:cs="Tahoma"/>
      <w:sz w:val="16"/>
      <w:szCs w:val="16"/>
    </w:rPr>
  </w:style>
  <w:style w:type="paragraph" w:customStyle="1" w:styleId="NumberList1">
    <w:name w:val="Number List 1"/>
    <w:aliases w:val="2,3"/>
    <w:basedOn w:val="Normal"/>
    <w:autoRedefine/>
    <w:rsid w:val="00C73CD1"/>
    <w:pPr>
      <w:spacing w:before="240" w:after="0" w:line="240" w:lineRule="auto"/>
      <w:ind w:left="720"/>
    </w:pPr>
    <w:rPr>
      <w:rFonts w:ascii="Times New Roman" w:eastAsia="Times New Roman" w:hAnsi="Times New Roman"/>
      <w:sz w:val="24"/>
      <w:szCs w:val="24"/>
      <w:u w:val="single"/>
    </w:rPr>
  </w:style>
  <w:style w:type="character" w:styleId="CommentReference">
    <w:name w:val="annotation reference"/>
    <w:semiHidden/>
    <w:rsid w:val="00C73C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3C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C73C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F9EF-81F0-4CD1-8CE5-F94FFABE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Bracken</dc:creator>
  <cp:lastModifiedBy>Cheryl Redding</cp:lastModifiedBy>
  <cp:revision>7</cp:revision>
  <cp:lastPrinted>2015-04-24T20:21:00Z</cp:lastPrinted>
  <dcterms:created xsi:type="dcterms:W3CDTF">2018-02-16T18:53:00Z</dcterms:created>
  <dcterms:modified xsi:type="dcterms:W3CDTF">2018-03-19T18:37:00Z</dcterms:modified>
</cp:coreProperties>
</file>